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673E10">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45720" distB="45720" distL="114300" distR="114300" simplePos="0" relativeHeight="251661824" behindDoc="0" locked="0" layoutInCell="1" allowOverlap="1">
                <wp:simplePos x="0" y="0"/>
                <wp:positionH relativeFrom="page">
                  <wp:posOffset>6400800</wp:posOffset>
                </wp:positionH>
                <wp:positionV relativeFrom="paragraph">
                  <wp:posOffset>125730</wp:posOffset>
                </wp:positionV>
                <wp:extent cx="1149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404620"/>
                        </a:xfrm>
                        <a:prstGeom prst="rect">
                          <a:avLst/>
                        </a:prstGeom>
                        <a:solidFill>
                          <a:srgbClr val="FFFFFF"/>
                        </a:solidFill>
                        <a:ln w="9525">
                          <a:noFill/>
                          <a:miter lim="800000"/>
                          <a:headEnd/>
                          <a:tailEnd/>
                        </a:ln>
                      </wps:spPr>
                      <wps:txbx>
                        <w:txbxContent>
                          <w:p w:rsidR="00673E10" w:rsidRPr="00673E10" w:rsidRDefault="00673E10">
                            <w:pPr>
                              <w:rPr>
                                <w:b/>
                              </w:rPr>
                            </w:pPr>
                            <w:r w:rsidRPr="00673E10">
                              <w:rPr>
                                <w:b/>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in;margin-top:9.9pt;width:90.5pt;height:110.6pt;z-index:251661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" stroked="f">
                <v:textbox style="mso-fit-shape-to-text:t">
                  <w:txbxContent>
                    <w:p w:rsidR="00673E10" w:rsidRPr="00673E10" w:rsidRDefault="00673E10">
                      <w:pPr>
                        <w:rPr>
                          <w:b/>
                        </w:rPr>
                      </w:pPr>
                      <w:r w:rsidRPr="00673E10">
                        <w:rPr>
                          <w:b/>
                        </w:rPr>
                        <w:t>Appendix 'A'</w:t>
                      </w:r>
                    </w:p>
                  </w:txbxContent>
                </v:textbox>
                <w10:wrap type="square" anchorx="page"/>
              </v:shape>
            </w:pict>
          </mc:Fallback>
        </mc:AlternateContent>
      </w:r>
      <w:r w:rsidR="0080547E">
        <w:rPr>
          <w:noProof/>
          <w:lang w:eastAsia="en-GB"/>
        </w:rPr>
        <mc:AlternateContent>
          <mc:Choice Requires="wps">
            <w:drawing>
              <wp:anchor distT="0" distB="0" distL="114300" distR="114300" simplePos="0" relativeHeight="251658752" behindDoc="0" locked="0" layoutInCell="1" allowOverlap="1">
                <wp:simplePos x="0" y="0"/>
                <wp:positionH relativeFrom="column">
                  <wp:posOffset>4049395</wp:posOffset>
                </wp:positionH>
                <wp:positionV relativeFrom="paragraph">
                  <wp:posOffset>7847330</wp:posOffset>
                </wp:positionV>
                <wp:extent cx="2645410" cy="728345"/>
                <wp:effectExtent l="127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76A" w:rsidRDefault="005C076A" w:rsidP="002E36FD">
                            <w:pPr>
                              <w:jc w:val="center"/>
                            </w:pPr>
                            <w:r>
                              <w:t xml:space="preserve">Lancashire County Council as administering authority of </w:t>
                            </w:r>
                            <w:r w:rsidRPr="00E853B8">
                              <w:rPr>
                                <w:b/>
                              </w:rPr>
                              <w:t>Lancashire County Pension Fund</w:t>
                            </w:r>
                          </w:p>
                          <w:p w:rsidR="005C076A" w:rsidRDefault="005C076A" w:rsidP="002E36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85pt;margin-top:617.9pt;width:208.3pt;height:5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yZggIAAA8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" stroked="f">
                <v:textbox>
                  <w:txbxContent>
                    <w:p w:rsidR="005C076A" w:rsidRDefault="005C076A" w:rsidP="002E36FD">
                      <w:pPr>
                        <w:jc w:val="center"/>
                      </w:pPr>
                      <w:r>
                        <w:t xml:space="preserve">Lancashire County Council as administering authority of </w:t>
                      </w:r>
                      <w:r w:rsidRPr="00E853B8">
                        <w:rPr>
                          <w:b/>
                        </w:rPr>
                        <w:t>Lancashire County Pension Fund</w:t>
                      </w:r>
                    </w:p>
                    <w:p w:rsidR="005C076A" w:rsidRDefault="005C076A" w:rsidP="002E36FD"/>
                  </w:txbxContent>
                </v:textbox>
              </v:shape>
            </w:pict>
          </mc:Fallback>
        </mc:AlternateContent>
      </w:r>
      <w:r w:rsidR="0080547E">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217805</wp:posOffset>
                </wp:positionH>
                <wp:positionV relativeFrom="paragraph">
                  <wp:posOffset>5659120</wp:posOffset>
                </wp:positionV>
                <wp:extent cx="3820795" cy="2916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291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6A" w:rsidRPr="00846AEA" w:rsidRDefault="005C076A" w:rsidP="00A0563B">
                            <w:pPr>
                              <w:pStyle w:val="Title"/>
                            </w:pPr>
                            <w:r>
                              <w:t>Lancashire County Pension Fund</w:t>
                            </w:r>
                          </w:p>
                          <w:p w:rsidR="005C076A" w:rsidRDefault="005C076A" w:rsidP="002E36FD">
                            <w:pPr>
                              <w:pStyle w:val="Title2"/>
                            </w:pPr>
                            <w:r>
                              <w:t>Strategic Plan 201</w:t>
                            </w:r>
                            <w:r w:rsidR="005C1042">
                              <w:t>5</w:t>
                            </w:r>
                            <w:r>
                              <w:t>/1</w:t>
                            </w:r>
                            <w:r w:rsidR="005C1042">
                              <w:t>6</w:t>
                            </w:r>
                            <w:r>
                              <w:t xml:space="preserve"> – 201</w:t>
                            </w:r>
                            <w:r w:rsidR="005C1042">
                              <w:t>7</w:t>
                            </w:r>
                            <w:r>
                              <w:t>/1</w:t>
                            </w:r>
                            <w:r w:rsidR="005C1042">
                              <w:t>8</w:t>
                            </w:r>
                            <w:r w:rsidR="00356F36" w:rsidRPr="006549D3">
                              <w:rPr>
                                <w:rFonts w:eastAsia="Calibri"/>
                                <w:b w:val="0"/>
                                <w:bCs w:val="0"/>
                                <w:noProof/>
                                <w:szCs w:val="20"/>
                                <w:highlight w:val="yellow"/>
                                <w:lang w:eastAsia="en-US"/>
                              </w:rPr>
                              <w:fldChar w:fldCharType="begin"/>
                            </w:r>
                            <w:r w:rsidRPr="00487350">
                              <w:rPr>
                                <w:highlight w:val="yellow"/>
                              </w:rPr>
                              <w:instrText xml:space="preserve"> TOC \h \z \u \t "Heading 1,1,Heading 2,2,Heading 3,3" </w:instrText>
                            </w:r>
                            <w:r w:rsidR="00356F36" w:rsidRPr="006549D3">
                              <w:rPr>
                                <w:rFonts w:eastAsia="Calibri"/>
                                <w:b w:val="0"/>
                                <w:bCs w:val="0"/>
                                <w:noProof/>
                                <w:szCs w:val="20"/>
                                <w:highlight w:val="yellow"/>
                                <w:lang w:eastAsia="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15pt;margin-top:445.6pt;width:300.85pt;height:2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yp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kyiYpzFGFdiiNJzFc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" filled="f" stroked="f">
                <v:textbox>
                  <w:txbxContent>
                    <w:p w:rsidR="005C076A" w:rsidRPr="00846AEA" w:rsidRDefault="005C076A" w:rsidP="00A0563B">
                      <w:pPr>
                        <w:pStyle w:val="Title"/>
                      </w:pPr>
                      <w:r>
                        <w:t>Lancashire County Pension Fund</w:t>
                      </w:r>
                    </w:p>
                    <w:p w:rsidR="005C076A" w:rsidRDefault="005C076A" w:rsidP="002E36FD">
                      <w:pPr>
                        <w:pStyle w:val="Title2"/>
                      </w:pPr>
                      <w:r>
                        <w:t>Strategic Plan 201</w:t>
                      </w:r>
                      <w:r w:rsidR="005C1042">
                        <w:t>5</w:t>
                      </w:r>
                      <w:r>
                        <w:t>/1</w:t>
                      </w:r>
                      <w:r w:rsidR="005C1042">
                        <w:t>6</w:t>
                      </w:r>
                      <w:r>
                        <w:t xml:space="preserve"> – 201</w:t>
                      </w:r>
                      <w:r w:rsidR="005C1042">
                        <w:t>7</w:t>
                      </w:r>
                      <w:r>
                        <w:t>/1</w:t>
                      </w:r>
                      <w:r w:rsidR="005C1042">
                        <w:t>8</w:t>
                      </w:r>
                      <w:r w:rsidR="00356F36" w:rsidRPr="006549D3">
                        <w:rPr>
                          <w:rFonts w:eastAsia="Calibri"/>
                          <w:b w:val="0"/>
                          <w:bCs w:val="0"/>
                          <w:noProof/>
                          <w:szCs w:val="20"/>
                          <w:highlight w:val="yellow"/>
                          <w:lang w:eastAsia="en-US"/>
                        </w:rPr>
                        <w:fldChar w:fldCharType="begin"/>
                      </w:r>
                      <w:r w:rsidRPr="00487350">
                        <w:rPr>
                          <w:highlight w:val="yellow"/>
                        </w:rPr>
                        <w:instrText xml:space="preserve"> TOC \h \z \u \t "Heading 1,1,Heading 2,2,Heading 3,3" </w:instrText>
                      </w:r>
                      <w:r w:rsidR="00356F36" w:rsidRPr="006549D3">
                        <w:rPr>
                          <w:rFonts w:eastAsia="Calibri"/>
                          <w:b w:val="0"/>
                          <w:bCs w:val="0"/>
                          <w:noProof/>
                          <w:szCs w:val="20"/>
                          <w:highlight w:val="yellow"/>
                          <w:lang w:eastAsia="en-US"/>
                        </w:rPr>
                        <w:fldChar w:fldCharType="end"/>
                      </w:r>
                    </w:p>
                  </w:txbxContent>
                </v:textbox>
              </v:shape>
            </w:pict>
          </mc:Fallback>
        </mc:AlternateContent>
      </w:r>
    </w:p>
    <w:p w:rsidR="006D7BB1" w:rsidRDefault="00BD6097" w:rsidP="00BD6097">
      <w:pPr>
        <w:pStyle w:val="TOCHeader"/>
        <w:rPr>
          <w:sz w:val="40"/>
          <w:szCs w:val="40"/>
        </w:rPr>
      </w:pPr>
      <w:bookmarkStart w:id="1" w:name="_Toc304199307"/>
      <w:r w:rsidRPr="00BD6097">
        <w:rPr>
          <w:sz w:val="40"/>
          <w:szCs w:val="40"/>
        </w:rPr>
        <w:lastRenderedPageBreak/>
        <w:t>Contents</w:t>
      </w:r>
    </w:p>
    <w:p w:rsidR="008C7625" w:rsidRDefault="008C7625" w:rsidP="000E00B0">
      <w:pPr>
        <w:pStyle w:val="Heading1"/>
        <w:rPr>
          <w:sz w:val="32"/>
          <w:szCs w:val="32"/>
        </w:rPr>
      </w:pPr>
      <w:bookmarkStart w:id="2" w:name="_Toc414262839"/>
      <w:bookmarkStart w:id="3" w:name="_Toc304199309"/>
      <w:bookmarkStart w:id="4" w:name="_Toc307236627"/>
      <w:bookmarkStart w:id="5" w:name="_Toc307236705"/>
      <w:bookmarkEnd w:id="1"/>
    </w:p>
    <w:p w:rsidR="008C7625" w:rsidRDefault="008C7625" w:rsidP="008C7625">
      <w:pPr>
        <w:rPr>
          <w:lang w:eastAsia="en-GB"/>
        </w:rPr>
      </w:pPr>
      <w:r>
        <w:rPr>
          <w:lang w:eastAsia="en-GB"/>
        </w:rPr>
        <w:t>Foreword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3</w:t>
      </w:r>
    </w:p>
    <w:p w:rsidR="008C7625" w:rsidRDefault="008C7625" w:rsidP="008C7625">
      <w:pPr>
        <w:rPr>
          <w:lang w:eastAsia="en-GB"/>
        </w:rPr>
      </w:pPr>
    </w:p>
    <w:p w:rsidR="008C7625" w:rsidRDefault="008C7625" w:rsidP="008C7625">
      <w:pPr>
        <w:rPr>
          <w:lang w:eastAsia="en-GB"/>
        </w:rPr>
      </w:pPr>
      <w:r>
        <w:rPr>
          <w:lang w:eastAsia="en-GB"/>
        </w:rPr>
        <w:t>What We Are Here For</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4</w:t>
      </w:r>
    </w:p>
    <w:p w:rsidR="008C7625" w:rsidRDefault="008C7625" w:rsidP="008C7625">
      <w:pPr>
        <w:rPr>
          <w:lang w:eastAsia="en-GB"/>
        </w:rPr>
      </w:pPr>
    </w:p>
    <w:p w:rsidR="008C7625" w:rsidRDefault="008C7625" w:rsidP="008C7625">
      <w:pPr>
        <w:rPr>
          <w:lang w:eastAsia="en-GB"/>
        </w:rPr>
      </w:pPr>
      <w:r>
        <w:rPr>
          <w:lang w:eastAsia="en-GB"/>
        </w:rPr>
        <w:t>How Things Fit Together – Our Planning Framework</w:t>
      </w:r>
      <w:r>
        <w:rPr>
          <w:lang w:eastAsia="en-GB"/>
        </w:rPr>
        <w:tab/>
      </w:r>
      <w:r>
        <w:rPr>
          <w:lang w:eastAsia="en-GB"/>
        </w:rPr>
        <w:tab/>
      </w:r>
      <w:r>
        <w:rPr>
          <w:lang w:eastAsia="en-GB"/>
        </w:rPr>
        <w:tab/>
        <w:t xml:space="preserve"> 4</w:t>
      </w:r>
    </w:p>
    <w:p w:rsidR="008C7625" w:rsidRDefault="008C7625" w:rsidP="008C7625">
      <w:pPr>
        <w:rPr>
          <w:lang w:eastAsia="en-GB"/>
        </w:rPr>
      </w:pPr>
    </w:p>
    <w:p w:rsidR="008C7625" w:rsidRDefault="008C7625" w:rsidP="008C7625">
      <w:pPr>
        <w:rPr>
          <w:lang w:eastAsia="en-GB"/>
        </w:rPr>
      </w:pPr>
      <w:r>
        <w:rPr>
          <w:lang w:eastAsia="en-GB"/>
        </w:rPr>
        <w:t>Governance</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5</w:t>
      </w:r>
    </w:p>
    <w:p w:rsidR="008C7625" w:rsidRDefault="008C7625" w:rsidP="008C7625">
      <w:pPr>
        <w:rPr>
          <w:lang w:eastAsia="en-GB"/>
        </w:rPr>
      </w:pPr>
    </w:p>
    <w:p w:rsidR="008C7625" w:rsidRDefault="008C7625" w:rsidP="008C7625">
      <w:pPr>
        <w:rPr>
          <w:lang w:eastAsia="en-GB"/>
        </w:rPr>
      </w:pPr>
      <w:r>
        <w:rPr>
          <w:lang w:eastAsia="en-GB"/>
        </w:rPr>
        <w:t>Asset and Liability Management</w:t>
      </w:r>
      <w:r>
        <w:rPr>
          <w:lang w:eastAsia="en-GB"/>
        </w:rPr>
        <w:tab/>
      </w:r>
      <w:r>
        <w:rPr>
          <w:lang w:eastAsia="en-GB"/>
        </w:rPr>
        <w:tab/>
      </w:r>
      <w:r>
        <w:rPr>
          <w:lang w:eastAsia="en-GB"/>
        </w:rPr>
        <w:tab/>
      </w:r>
      <w:r>
        <w:rPr>
          <w:lang w:eastAsia="en-GB"/>
        </w:rPr>
        <w:tab/>
      </w:r>
      <w:r>
        <w:rPr>
          <w:lang w:eastAsia="en-GB"/>
        </w:rPr>
        <w:tab/>
      </w:r>
      <w:r>
        <w:rPr>
          <w:lang w:eastAsia="en-GB"/>
        </w:rPr>
        <w:tab/>
        <w:t xml:space="preserve"> 8</w:t>
      </w:r>
    </w:p>
    <w:p w:rsidR="008C7625" w:rsidRDefault="008C7625" w:rsidP="008C7625">
      <w:pPr>
        <w:rPr>
          <w:lang w:eastAsia="en-GB"/>
        </w:rPr>
      </w:pPr>
    </w:p>
    <w:p w:rsidR="008C7625" w:rsidRDefault="008C7625" w:rsidP="008C7625">
      <w:pPr>
        <w:rPr>
          <w:lang w:eastAsia="en-GB"/>
        </w:rPr>
      </w:pPr>
      <w:r>
        <w:rPr>
          <w:lang w:eastAsia="en-GB"/>
        </w:rPr>
        <w:t>Administration</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12</w:t>
      </w:r>
    </w:p>
    <w:p w:rsidR="008C7625" w:rsidRDefault="008C7625" w:rsidP="008C7625">
      <w:pPr>
        <w:rPr>
          <w:lang w:eastAsia="en-GB"/>
        </w:rPr>
      </w:pPr>
    </w:p>
    <w:p w:rsidR="008C7625" w:rsidRDefault="008C7625" w:rsidP="008C7625">
      <w:pPr>
        <w:rPr>
          <w:lang w:eastAsia="en-GB"/>
        </w:rPr>
      </w:pPr>
      <w:r>
        <w:rPr>
          <w:lang w:eastAsia="en-GB"/>
        </w:rPr>
        <w:t>Communications</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14</w:t>
      </w:r>
    </w:p>
    <w:p w:rsidR="008C7625" w:rsidRDefault="008C7625" w:rsidP="008C7625">
      <w:pPr>
        <w:rPr>
          <w:lang w:eastAsia="en-GB"/>
        </w:rPr>
      </w:pPr>
    </w:p>
    <w:p w:rsidR="008C7625" w:rsidRDefault="008C7625" w:rsidP="008C7625">
      <w:pPr>
        <w:rPr>
          <w:lang w:eastAsia="en-GB"/>
        </w:rPr>
      </w:pPr>
      <w:r>
        <w:rPr>
          <w:lang w:eastAsia="en-GB"/>
        </w:rPr>
        <w:t>Glossary</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16</w:t>
      </w:r>
    </w:p>
    <w:p w:rsidR="008C7625" w:rsidRDefault="008C7625" w:rsidP="008C7625">
      <w:pPr>
        <w:rPr>
          <w:lang w:eastAsia="en-GB"/>
        </w:rPr>
      </w:pPr>
    </w:p>
    <w:p w:rsidR="008C7625" w:rsidRDefault="008C7625" w:rsidP="008C7625">
      <w:pPr>
        <w:rPr>
          <w:lang w:eastAsia="en-GB"/>
        </w:rPr>
      </w:pPr>
      <w:r>
        <w:rPr>
          <w:lang w:eastAsia="en-GB"/>
        </w:rPr>
        <w:t>Contacts for Further Information</w:t>
      </w:r>
      <w:r>
        <w:rPr>
          <w:lang w:eastAsia="en-GB"/>
        </w:rPr>
        <w:tab/>
      </w:r>
      <w:r>
        <w:rPr>
          <w:lang w:eastAsia="en-GB"/>
        </w:rPr>
        <w:tab/>
      </w:r>
      <w:r>
        <w:rPr>
          <w:lang w:eastAsia="en-GB"/>
        </w:rPr>
        <w:tab/>
      </w:r>
      <w:r>
        <w:rPr>
          <w:lang w:eastAsia="en-GB"/>
        </w:rPr>
        <w:tab/>
      </w:r>
      <w:r>
        <w:rPr>
          <w:lang w:eastAsia="en-GB"/>
        </w:rPr>
        <w:tab/>
      </w:r>
      <w:r>
        <w:rPr>
          <w:lang w:eastAsia="en-GB"/>
        </w:rPr>
        <w:tab/>
        <w:t>17</w:t>
      </w:r>
    </w:p>
    <w:p w:rsidR="008C7625" w:rsidRDefault="008C7625" w:rsidP="008C7625">
      <w:pPr>
        <w:rPr>
          <w:lang w:eastAsia="en-GB"/>
        </w:rPr>
      </w:pPr>
    </w:p>
    <w:p w:rsidR="008C7625" w:rsidRDefault="008C7625" w:rsidP="008C7625">
      <w:pPr>
        <w:rPr>
          <w:lang w:eastAsia="en-GB"/>
        </w:rPr>
      </w:pPr>
    </w:p>
    <w:p w:rsidR="008C7625" w:rsidRPr="008C7625" w:rsidRDefault="008C7625" w:rsidP="008C7625">
      <w:pPr>
        <w:rPr>
          <w:lang w:eastAsia="en-GB"/>
        </w:rPr>
      </w:pPr>
      <w:r>
        <w:rPr>
          <w:lang w:eastAsia="en-GB"/>
        </w:rPr>
        <w:lastRenderedPageBreak/>
        <w:tab/>
      </w:r>
    </w:p>
    <w:p w:rsidR="008C7625" w:rsidRDefault="008C7625">
      <w:pPr>
        <w:autoSpaceDE/>
        <w:autoSpaceDN/>
        <w:adjustRightInd/>
        <w:spacing w:after="0"/>
        <w:jc w:val="left"/>
        <w:rPr>
          <w:rFonts w:eastAsia="Times New Roman"/>
          <w:b/>
          <w:bCs/>
          <w:color w:val="auto"/>
          <w:sz w:val="32"/>
          <w:szCs w:val="32"/>
          <w:lang w:eastAsia="en-GB"/>
        </w:rPr>
      </w:pPr>
      <w:r>
        <w:rPr>
          <w:sz w:val="32"/>
          <w:szCs w:val="32"/>
        </w:rPr>
        <w:br w:type="page"/>
      </w:r>
    </w:p>
    <w:p w:rsidR="0027530D" w:rsidRDefault="0027530D" w:rsidP="000E00B0">
      <w:pPr>
        <w:pStyle w:val="Heading1"/>
        <w:rPr>
          <w:sz w:val="32"/>
          <w:szCs w:val="32"/>
        </w:rPr>
      </w:pPr>
      <w:r w:rsidRPr="0027530D">
        <w:rPr>
          <w:sz w:val="32"/>
          <w:szCs w:val="32"/>
        </w:rPr>
        <w:lastRenderedPageBreak/>
        <w:t>Foreword</w:t>
      </w:r>
      <w:bookmarkEnd w:id="2"/>
    </w:p>
    <w:p w:rsidR="0027530D" w:rsidRDefault="0027530D" w:rsidP="0027530D">
      <w:pPr>
        <w:rPr>
          <w:lang w:eastAsia="en-GB"/>
        </w:rPr>
      </w:pPr>
      <w:r>
        <w:rPr>
          <w:lang w:eastAsia="en-GB"/>
        </w:rPr>
        <w:t xml:space="preserve">The Lancashire County Pension Fund is the means of pension saving and the provider of retirement security for around 150,000 people employed by around 270 organisations across the County. With assets </w:t>
      </w:r>
      <w:r w:rsidR="0055592C">
        <w:rPr>
          <w:lang w:eastAsia="en-GB"/>
        </w:rPr>
        <w:t>approaching</w:t>
      </w:r>
      <w:r>
        <w:rPr>
          <w:lang w:eastAsia="en-GB"/>
        </w:rPr>
        <w:t xml:space="preserve"> £</w:t>
      </w:r>
      <w:r w:rsidR="0055592C">
        <w:rPr>
          <w:lang w:eastAsia="en-GB"/>
        </w:rPr>
        <w:t>6</w:t>
      </w:r>
      <w:r>
        <w:rPr>
          <w:lang w:eastAsia="en-GB"/>
        </w:rPr>
        <w:t xml:space="preserve">bn invested to provide retirement security for our members we are by any measure a big business. </w:t>
      </w:r>
    </w:p>
    <w:p w:rsidR="0027530D" w:rsidRDefault="0027530D" w:rsidP="0027530D">
      <w:pPr>
        <w:rPr>
          <w:lang w:eastAsia="en-GB"/>
        </w:rPr>
      </w:pPr>
    </w:p>
    <w:p w:rsidR="0027530D" w:rsidRDefault="0027530D" w:rsidP="0027530D">
      <w:pPr>
        <w:rPr>
          <w:lang w:eastAsia="en-GB"/>
        </w:rPr>
      </w:pPr>
      <w:r>
        <w:rPr>
          <w:lang w:eastAsia="en-GB"/>
        </w:rPr>
        <w:t xml:space="preserve">Like any business we need to </w:t>
      </w:r>
      <w:bookmarkEnd w:id="3"/>
      <w:bookmarkEnd w:id="4"/>
      <w:bookmarkEnd w:id="5"/>
      <w:r w:rsidR="00283377">
        <w:rPr>
          <w:lang w:eastAsia="en-GB"/>
        </w:rPr>
        <w:t>set ourselves clear objectives and plan our work to achieve them. As much of what we do is driven by the cycle of actuarial valuations of the Fund we do this over a three year period.</w:t>
      </w:r>
    </w:p>
    <w:p w:rsidR="00283377" w:rsidRDefault="00283377" w:rsidP="0027530D">
      <w:pPr>
        <w:rPr>
          <w:lang w:eastAsia="en-GB"/>
        </w:rPr>
      </w:pPr>
    </w:p>
    <w:p w:rsidR="00283377" w:rsidRDefault="00283377" w:rsidP="0027530D">
      <w:pPr>
        <w:rPr>
          <w:lang w:eastAsia="en-GB"/>
        </w:rPr>
      </w:pPr>
      <w:r>
        <w:rPr>
          <w:lang w:eastAsia="en-GB"/>
        </w:rPr>
        <w:t xml:space="preserve">This Strategic Plan sets out what we plan to do </w:t>
      </w:r>
      <w:r w:rsidR="0055592C">
        <w:rPr>
          <w:lang w:eastAsia="en-GB"/>
        </w:rPr>
        <w:t>to achieve our objectives in four</w:t>
      </w:r>
      <w:r>
        <w:rPr>
          <w:lang w:eastAsia="en-GB"/>
        </w:rPr>
        <w:t xml:space="preserve"> areas over the coming three years. This plan will be reviewed by the Pension Fund Committee each year and progress will be reported within the Fund's Annual Report.</w:t>
      </w:r>
    </w:p>
    <w:p w:rsidR="00283377" w:rsidRDefault="00283377" w:rsidP="0027530D">
      <w:pPr>
        <w:rPr>
          <w:lang w:eastAsia="en-GB"/>
        </w:rPr>
      </w:pPr>
    </w:p>
    <w:p w:rsidR="00283377" w:rsidRDefault="000271BD" w:rsidP="0027530D">
      <w:pPr>
        <w:rPr>
          <w:lang w:eastAsia="en-GB"/>
        </w:rPr>
      </w:pPr>
      <w:r>
        <w:rPr>
          <w:lang w:eastAsia="en-GB"/>
        </w:rPr>
        <w:t xml:space="preserve">The coming three years will present the Fund with a range of significant challenges, this plan is part of our approach to ensuring we are able to meet those challenges effectively and continue to provide retirement security for our members. </w:t>
      </w:r>
    </w:p>
    <w:p w:rsidR="000271BD" w:rsidRDefault="000271BD" w:rsidP="0027530D">
      <w:pPr>
        <w:rPr>
          <w:lang w:eastAsia="en-GB"/>
        </w:rPr>
      </w:pPr>
    </w:p>
    <w:p w:rsidR="000271BD" w:rsidRDefault="000271BD" w:rsidP="0027530D">
      <w:pPr>
        <w:rPr>
          <w:lang w:eastAsia="en-GB"/>
        </w:rPr>
      </w:pPr>
      <w:r>
        <w:rPr>
          <w:lang w:eastAsia="en-GB"/>
        </w:rPr>
        <w:t>We welcome feedback on the work of the Fund, and if you would like to make contact details are provided at the end of this plan.</w:t>
      </w:r>
    </w:p>
    <w:p w:rsidR="00283377" w:rsidRDefault="00283377" w:rsidP="0027530D">
      <w:pPr>
        <w:rPr>
          <w:lang w:eastAsia="en-GB"/>
        </w:rPr>
      </w:pPr>
    </w:p>
    <w:p w:rsidR="00283377" w:rsidRDefault="005066E6" w:rsidP="0027530D">
      <w:pPr>
        <w:rPr>
          <w:noProof/>
          <w:lang w:eastAsia="en-GB"/>
        </w:rPr>
      </w:pPr>
      <w:r w:rsidRPr="005066E6">
        <w:rPr>
          <w:noProof/>
          <w:lang w:eastAsia="en-GB"/>
        </w:rPr>
        <w:lastRenderedPageBreak/>
        <w:drawing>
          <wp:anchor distT="0" distB="0" distL="114300" distR="114300" simplePos="0" relativeHeight="251659776" behindDoc="1" locked="0" layoutInCell="1" allowOverlap="1" wp14:anchorId="1AAA7740" wp14:editId="18AD9F47">
            <wp:simplePos x="0" y="0"/>
            <wp:positionH relativeFrom="column">
              <wp:posOffset>3400425</wp:posOffset>
            </wp:positionH>
            <wp:positionV relativeFrom="paragraph">
              <wp:posOffset>13970</wp:posOffset>
            </wp:positionV>
            <wp:extent cx="2247900" cy="2494280"/>
            <wp:effectExtent l="0" t="0" r="0" b="1270"/>
            <wp:wrapTight wrapText="bothSides">
              <wp:wrapPolygon edited="0">
                <wp:start x="0" y="0"/>
                <wp:lineTo x="0" y="21446"/>
                <wp:lineTo x="21417" y="21446"/>
                <wp:lineTo x="21417" y="0"/>
                <wp:lineTo x="0" y="0"/>
              </wp:wrapPolygon>
            </wp:wrapTight>
            <wp:docPr id="6" name="Picture 6" descr="X:\County Treasurer\Investment Compliance\Pension Fund\Pension Fund Committee\Training\Photos\George G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unty Treasurer\Investment Compliance\Pension Fund\Pension Fund Committee\Training\Photos\George Grah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47E">
        <w:rPr>
          <w:noProof/>
          <w:lang w:eastAsia="en-GB"/>
        </w:rPr>
        <w:drawing>
          <wp:inline distT="0" distB="0" distL="0" distR="0" wp14:anchorId="4AF7AFC9" wp14:editId="1B1F8365">
            <wp:extent cx="1905000" cy="2486025"/>
            <wp:effectExtent l="0" t="0" r="0" b="9525"/>
            <wp:docPr id="3" name="Picture 0" descr="cc b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 bur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486025"/>
                    </a:xfrm>
                    <a:prstGeom prst="rect">
                      <a:avLst/>
                    </a:prstGeom>
                    <a:noFill/>
                    <a:ln>
                      <a:noFill/>
                    </a:ln>
                  </pic:spPr>
                </pic:pic>
              </a:graphicData>
            </a:graphic>
          </wp:inline>
        </w:drawing>
      </w:r>
    </w:p>
    <w:p w:rsidR="000271BD" w:rsidRDefault="000271BD" w:rsidP="0027530D">
      <w:pPr>
        <w:rPr>
          <w:noProof/>
          <w:lang w:eastAsia="en-GB"/>
        </w:rPr>
      </w:pPr>
    </w:p>
    <w:p w:rsidR="000271BD" w:rsidRDefault="000271BD" w:rsidP="005066E6">
      <w:pPr>
        <w:tabs>
          <w:tab w:val="left" w:pos="5387"/>
        </w:tabs>
        <w:rPr>
          <w:noProof/>
          <w:lang w:eastAsia="en-GB"/>
        </w:rPr>
      </w:pPr>
      <w:r>
        <w:rPr>
          <w:noProof/>
          <w:lang w:eastAsia="en-GB"/>
        </w:rPr>
        <w:t>County Councillor Terry Burns</w:t>
      </w:r>
      <w:r w:rsidR="005066E6">
        <w:rPr>
          <w:noProof/>
          <w:lang w:eastAsia="en-GB"/>
        </w:rPr>
        <w:tab/>
        <w:t>George Graham</w:t>
      </w:r>
    </w:p>
    <w:p w:rsidR="000271BD" w:rsidRDefault="000271BD" w:rsidP="005066E6">
      <w:pPr>
        <w:tabs>
          <w:tab w:val="left" w:pos="5387"/>
        </w:tabs>
        <w:rPr>
          <w:noProof/>
          <w:lang w:eastAsia="en-GB"/>
        </w:rPr>
      </w:pPr>
      <w:r>
        <w:rPr>
          <w:noProof/>
          <w:lang w:eastAsia="en-GB"/>
        </w:rPr>
        <w:t>Chair of the Pension Fund Committee</w:t>
      </w:r>
      <w:r w:rsidR="0055592C">
        <w:rPr>
          <w:noProof/>
          <w:lang w:eastAsia="en-GB"/>
        </w:rPr>
        <w:tab/>
        <w:t xml:space="preserve">Director - </w:t>
      </w:r>
      <w:r w:rsidR="005066E6">
        <w:rPr>
          <w:noProof/>
          <w:lang w:eastAsia="en-GB"/>
        </w:rPr>
        <w:t xml:space="preserve">Lancashire County </w:t>
      </w:r>
      <w:r w:rsidR="005066E6">
        <w:rPr>
          <w:noProof/>
          <w:lang w:eastAsia="en-GB"/>
        </w:rPr>
        <w:br/>
      </w:r>
      <w:r w:rsidR="005066E6">
        <w:rPr>
          <w:noProof/>
          <w:lang w:eastAsia="en-GB"/>
        </w:rPr>
        <w:tab/>
        <w:t>Pension Fund</w:t>
      </w:r>
    </w:p>
    <w:p w:rsidR="001411AE" w:rsidRDefault="001411AE" w:rsidP="0027530D">
      <w:pPr>
        <w:rPr>
          <w:noProof/>
          <w:lang w:eastAsia="en-GB"/>
        </w:rPr>
        <w:sectPr w:rsidR="001411AE" w:rsidSect="00D31A35">
          <w:headerReference w:type="default" r:id="rId12"/>
          <w:footerReference w:type="default" r:id="rId13"/>
          <w:pgSz w:w="11900" w:h="16840" w:code="9"/>
          <w:pgMar w:top="1440" w:right="1440" w:bottom="851" w:left="1440" w:header="567" w:footer="567" w:gutter="0"/>
          <w:cols w:space="292"/>
          <w:docGrid w:linePitch="326"/>
        </w:sectPr>
      </w:pPr>
    </w:p>
    <w:p w:rsidR="00FE1A3B" w:rsidRDefault="00FE1A3B" w:rsidP="0027530D">
      <w:pPr>
        <w:rPr>
          <w:noProof/>
          <w:lang w:eastAsia="en-GB"/>
        </w:rPr>
      </w:pPr>
    </w:p>
    <w:p w:rsidR="0055592C" w:rsidRDefault="0055592C" w:rsidP="0055592C">
      <w:pPr>
        <w:rPr>
          <w:b/>
          <w:noProof/>
          <w:sz w:val="32"/>
          <w:szCs w:val="32"/>
          <w:lang w:eastAsia="en-GB"/>
        </w:rPr>
      </w:pPr>
      <w:r>
        <w:rPr>
          <w:b/>
          <w:noProof/>
          <w:sz w:val="32"/>
          <w:szCs w:val="32"/>
          <w:lang w:eastAsia="en-GB"/>
        </w:rPr>
        <w:t>What Are We Here For?</w:t>
      </w:r>
    </w:p>
    <w:p w:rsidR="0055592C" w:rsidRPr="00FB3978" w:rsidRDefault="0055592C" w:rsidP="0055592C">
      <w:pPr>
        <w:rPr>
          <w:b/>
          <w:noProof/>
          <w:sz w:val="32"/>
          <w:szCs w:val="32"/>
          <w:lang w:eastAsia="en-GB"/>
        </w:rPr>
      </w:pPr>
      <w:r>
        <w:rPr>
          <w:noProof/>
          <w:lang w:eastAsia="en-GB"/>
        </w:rPr>
        <w:t>The core purpose of the Lancashire County Pension Fund, or more simply the reason we are here is to provide retirement security for members of the Local Government Pension Scheme in Lancashire, whilst providing the best possible level of service.</w:t>
      </w:r>
    </w:p>
    <w:p w:rsidR="0055592C" w:rsidRDefault="0055592C" w:rsidP="0055592C">
      <w:pPr>
        <w:rPr>
          <w:noProof/>
          <w:lang w:eastAsia="en-GB"/>
        </w:rPr>
      </w:pPr>
    </w:p>
    <w:p w:rsidR="0055592C" w:rsidRPr="00FB3978" w:rsidRDefault="0055592C" w:rsidP="0055592C">
      <w:pPr>
        <w:rPr>
          <w:b/>
          <w:noProof/>
          <w:sz w:val="32"/>
          <w:szCs w:val="32"/>
          <w:lang w:eastAsia="en-GB"/>
        </w:rPr>
      </w:pPr>
      <w:r>
        <w:rPr>
          <w:b/>
          <w:noProof/>
          <w:sz w:val="32"/>
          <w:szCs w:val="32"/>
          <w:lang w:eastAsia="en-GB"/>
        </w:rPr>
        <w:t>How Things Fit Together – Our Planning Framework</w:t>
      </w:r>
    </w:p>
    <w:p w:rsidR="0055592C" w:rsidRDefault="0055592C" w:rsidP="0055592C">
      <w:pPr>
        <w:rPr>
          <w:noProof/>
          <w:lang w:eastAsia="en-GB"/>
        </w:rPr>
      </w:pPr>
      <w:r>
        <w:rPr>
          <w:noProof/>
          <w:lang w:eastAsia="en-GB"/>
        </w:rPr>
        <w:t>Our planning framework is based on doing the things that help us deliver our core purpose. These things fall into four groups, or dimensions, which are shown in the diagram below:</w:t>
      </w:r>
    </w:p>
    <w:p w:rsidR="0055592C" w:rsidRDefault="0055592C" w:rsidP="0055592C">
      <w:pPr>
        <w:rPr>
          <w:noProof/>
          <w:lang w:eastAsia="en-GB"/>
        </w:rPr>
      </w:pPr>
    </w:p>
    <w:p w:rsidR="0055592C" w:rsidRDefault="0055592C" w:rsidP="0055592C">
      <w:pPr>
        <w:rPr>
          <w:noProof/>
          <w:lang w:eastAsia="en-GB"/>
        </w:rPr>
      </w:pPr>
    </w:p>
    <w:p w:rsidR="0055592C" w:rsidRPr="00FB3978" w:rsidRDefault="0055592C" w:rsidP="0055592C">
      <w:pPr>
        <w:rPr>
          <w:b/>
          <w:noProof/>
          <w:lang w:eastAsia="en-GB"/>
        </w:rPr>
      </w:pPr>
      <w:r>
        <w:rPr>
          <w:b/>
          <w:noProof/>
          <w:lang w:eastAsia="en-GB"/>
        </w:rPr>
        <w:lastRenderedPageBreak/>
        <w:drawing>
          <wp:inline distT="0" distB="0" distL="0" distR="0" wp14:anchorId="0FDF1284" wp14:editId="7BD61E3A">
            <wp:extent cx="6200775" cy="475297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5592C" w:rsidRDefault="0055592C" w:rsidP="0055592C">
      <w:pPr>
        <w:rPr>
          <w:noProof/>
          <w:lang w:eastAsia="en-GB"/>
        </w:rPr>
      </w:pPr>
    </w:p>
    <w:p w:rsidR="0055592C" w:rsidRDefault="0055592C" w:rsidP="0055592C">
      <w:pPr>
        <w:rPr>
          <w:noProof/>
          <w:lang w:eastAsia="en-GB"/>
        </w:rPr>
      </w:pPr>
      <w:r>
        <w:rPr>
          <w:noProof/>
          <w:lang w:eastAsia="en-GB"/>
        </w:rPr>
        <w:t>The following sections of this plan set out the objectives we are aiming to achieve within each of these dimensions and the things that we are going to do over the next three years in order to achieve those objectives.</w:t>
      </w:r>
    </w:p>
    <w:p w:rsidR="00AC4DC2" w:rsidRDefault="00AC4DC2" w:rsidP="00AC4DC2">
      <w:pPr>
        <w:rPr>
          <w:b/>
          <w:noProof/>
          <w:sz w:val="32"/>
          <w:szCs w:val="32"/>
          <w:lang w:eastAsia="en-GB"/>
        </w:rPr>
        <w:sectPr w:rsidR="00AC4DC2" w:rsidSect="0055592C">
          <w:pgSz w:w="11900" w:h="16840" w:code="9"/>
          <w:pgMar w:top="1440" w:right="1440" w:bottom="851" w:left="1440" w:header="567" w:footer="567" w:gutter="0"/>
          <w:cols w:space="292"/>
          <w:docGrid w:linePitch="326"/>
        </w:sectPr>
      </w:pPr>
    </w:p>
    <w:p w:rsidR="00AC4DC2" w:rsidRDefault="00AC4DC2" w:rsidP="00AC4DC2">
      <w:pPr>
        <w:rPr>
          <w:b/>
          <w:noProof/>
          <w:sz w:val="32"/>
          <w:szCs w:val="32"/>
          <w:lang w:eastAsia="en-GB"/>
        </w:rPr>
      </w:pPr>
      <w:r>
        <w:rPr>
          <w:b/>
          <w:noProof/>
          <w:sz w:val="32"/>
          <w:szCs w:val="32"/>
          <w:lang w:eastAsia="en-GB"/>
        </w:rPr>
        <w:lastRenderedPageBreak/>
        <w:t>Governance</w:t>
      </w:r>
    </w:p>
    <w:p w:rsidR="007D705A" w:rsidRPr="00486913" w:rsidRDefault="007D705A" w:rsidP="00AC4DC2">
      <w:pPr>
        <w:rPr>
          <w:b/>
          <w:noProof/>
          <w:sz w:val="28"/>
          <w:szCs w:val="28"/>
          <w:lang w:eastAsia="en-GB"/>
        </w:rPr>
      </w:pPr>
      <w:r w:rsidRPr="00486913">
        <w:rPr>
          <w:b/>
          <w:noProof/>
          <w:sz w:val="28"/>
          <w:szCs w:val="28"/>
          <w:lang w:eastAsia="en-GB"/>
        </w:rPr>
        <w:t>Lead officer – Andrew Fox</w:t>
      </w:r>
      <w:r w:rsidR="0055592C" w:rsidRPr="00486913">
        <w:rPr>
          <w:b/>
          <w:noProof/>
          <w:sz w:val="28"/>
          <w:szCs w:val="28"/>
          <w:lang w:eastAsia="en-GB"/>
        </w:rPr>
        <w:t xml:space="preserve"> Head of Policy and Compliance</w:t>
      </w:r>
    </w:p>
    <w:p w:rsidR="00AC4DC2" w:rsidRDefault="00AC4DC2" w:rsidP="00AC4DC2">
      <w:pPr>
        <w:rPr>
          <w:lang w:eastAsia="en-GB"/>
        </w:rPr>
      </w:pPr>
      <w:r>
        <w:rPr>
          <w:lang w:eastAsia="en-GB"/>
        </w:rPr>
        <w:t>Governance is the overall set of processes we use to run the Pension Fund. It forms a key part of a number of the other areas of focus within this plan but is also crucial in it</w:t>
      </w:r>
      <w:r w:rsidR="00260F67">
        <w:rPr>
          <w:lang w:eastAsia="en-GB"/>
        </w:rPr>
        <w:t>s</w:t>
      </w:r>
      <w:r>
        <w:rPr>
          <w:lang w:eastAsia="en-GB"/>
        </w:rPr>
        <w:t xml:space="preserve"> own right.</w:t>
      </w:r>
    </w:p>
    <w:p w:rsidR="00AC4DC2" w:rsidRDefault="00AC4DC2" w:rsidP="00AC4DC2">
      <w:pPr>
        <w:rPr>
          <w:lang w:eastAsia="en-GB"/>
        </w:rPr>
      </w:pPr>
      <w:r>
        <w:rPr>
          <w:lang w:eastAsia="en-GB"/>
        </w:rPr>
        <w:t>Our objectives in this area are:</w:t>
      </w:r>
    </w:p>
    <w:p w:rsidR="00AC4DC2" w:rsidRDefault="00AC4DC2" w:rsidP="00AC4DC2">
      <w:pPr>
        <w:numPr>
          <w:ilvl w:val="0"/>
          <w:numId w:val="5"/>
        </w:numPr>
        <w:rPr>
          <w:lang w:eastAsia="en-GB"/>
        </w:rPr>
      </w:pPr>
      <w:r>
        <w:rPr>
          <w:lang w:eastAsia="en-GB"/>
        </w:rPr>
        <w:t>To be open and accountable to our stakeholders for our decisions, ensuring they are robust and evidence based;</w:t>
      </w:r>
    </w:p>
    <w:p w:rsidR="00AC4DC2" w:rsidRDefault="00AC4DC2" w:rsidP="00AC4DC2">
      <w:pPr>
        <w:numPr>
          <w:ilvl w:val="0"/>
          <w:numId w:val="5"/>
        </w:numPr>
        <w:rPr>
          <w:lang w:eastAsia="en-GB"/>
        </w:rPr>
      </w:pPr>
      <w:r>
        <w:rPr>
          <w:lang w:eastAsia="en-GB"/>
        </w:rPr>
        <w:t>To ensure that the Pension Fund is effectively managed and its services are delivered by highly motivated people who have the appropriate knowledge and expertise, and with access to appropriate systems;</w:t>
      </w:r>
    </w:p>
    <w:p w:rsidR="00AC4DC2" w:rsidRDefault="00AC4DC2" w:rsidP="00AC4DC2">
      <w:pPr>
        <w:numPr>
          <w:ilvl w:val="0"/>
          <w:numId w:val="5"/>
        </w:numPr>
        <w:rPr>
          <w:lang w:eastAsia="en-GB"/>
        </w:rPr>
      </w:pPr>
      <w:r>
        <w:rPr>
          <w:lang w:eastAsia="en-GB"/>
        </w:rPr>
        <w:t>To deliver value for money, excellent customer service and compliance with regulatory requirements and industry standards where appropriate.</w:t>
      </w:r>
    </w:p>
    <w:p w:rsidR="00AC4DC2" w:rsidRDefault="00AC4DC2" w:rsidP="00AC4DC2">
      <w:pPr>
        <w:rPr>
          <w:lang w:eastAsia="en-GB"/>
        </w:rPr>
      </w:pPr>
      <w:r>
        <w:rPr>
          <w:lang w:eastAsia="en-GB"/>
        </w:rPr>
        <w:t>Over the next three years we are aiming to undertake the following actions in this area:</w:t>
      </w:r>
    </w:p>
    <w:p w:rsidR="0055592C" w:rsidRDefault="0055592C" w:rsidP="00AC4DC2">
      <w:pPr>
        <w:rPr>
          <w:lang w:eastAsia="en-GB"/>
        </w:rPr>
      </w:pPr>
    </w:p>
    <w:tbl>
      <w:tblPr>
        <w:tblStyle w:val="TableGrid"/>
        <w:tblW w:w="5000" w:type="pct"/>
        <w:tblLook w:val="04A0" w:firstRow="1" w:lastRow="0" w:firstColumn="1" w:lastColumn="0" w:noHBand="0" w:noVBand="1"/>
      </w:tblPr>
      <w:tblGrid>
        <w:gridCol w:w="2436"/>
        <w:gridCol w:w="2435"/>
        <w:gridCol w:w="2435"/>
        <w:gridCol w:w="2435"/>
      </w:tblGrid>
      <w:tr w:rsidR="00AC4DC2" w:rsidRPr="00A7748B" w:rsidTr="0055592C">
        <w:tc>
          <w:tcPr>
            <w:tcW w:w="1250" w:type="pct"/>
          </w:tcPr>
          <w:p w:rsidR="00AC4DC2" w:rsidRPr="00A45D29" w:rsidRDefault="00AC4DC2" w:rsidP="00CE3146">
            <w:pPr>
              <w:rPr>
                <w:b/>
                <w:sz w:val="22"/>
                <w:szCs w:val="22"/>
              </w:rPr>
            </w:pPr>
            <w:r w:rsidRPr="00A45D29">
              <w:rPr>
                <w:b/>
                <w:sz w:val="22"/>
                <w:szCs w:val="22"/>
              </w:rPr>
              <w:t>Action</w:t>
            </w:r>
          </w:p>
        </w:tc>
        <w:tc>
          <w:tcPr>
            <w:tcW w:w="1250" w:type="pct"/>
          </w:tcPr>
          <w:p w:rsidR="00AC4DC2" w:rsidRPr="00A45D29" w:rsidRDefault="00AC4DC2" w:rsidP="00CE3146">
            <w:pPr>
              <w:rPr>
                <w:b/>
                <w:sz w:val="22"/>
                <w:szCs w:val="22"/>
              </w:rPr>
            </w:pPr>
            <w:r w:rsidRPr="00A45D29">
              <w:rPr>
                <w:b/>
                <w:sz w:val="22"/>
                <w:szCs w:val="22"/>
              </w:rPr>
              <w:t>How will this be achieved?</w:t>
            </w:r>
          </w:p>
        </w:tc>
        <w:tc>
          <w:tcPr>
            <w:tcW w:w="1250" w:type="pct"/>
          </w:tcPr>
          <w:p w:rsidR="00AC4DC2" w:rsidRPr="00A45D29" w:rsidRDefault="00AC4DC2" w:rsidP="00CE3146">
            <w:pPr>
              <w:rPr>
                <w:b/>
                <w:sz w:val="22"/>
                <w:szCs w:val="22"/>
              </w:rPr>
            </w:pPr>
            <w:r w:rsidRPr="00A45D29">
              <w:rPr>
                <w:b/>
                <w:sz w:val="22"/>
                <w:szCs w:val="22"/>
              </w:rPr>
              <w:t>How will success be measured?</w:t>
            </w:r>
          </w:p>
        </w:tc>
        <w:tc>
          <w:tcPr>
            <w:tcW w:w="1250" w:type="pct"/>
          </w:tcPr>
          <w:p w:rsidR="00AC4DC2" w:rsidRPr="00A45D29" w:rsidRDefault="00AC4DC2" w:rsidP="00CE3146">
            <w:pPr>
              <w:rPr>
                <w:b/>
                <w:sz w:val="22"/>
                <w:szCs w:val="22"/>
              </w:rPr>
            </w:pPr>
            <w:r w:rsidRPr="00A45D29">
              <w:rPr>
                <w:b/>
                <w:sz w:val="22"/>
                <w:szCs w:val="22"/>
              </w:rPr>
              <w:t>Timescale</w:t>
            </w:r>
          </w:p>
        </w:tc>
      </w:tr>
      <w:tr w:rsidR="00AC4DC2" w:rsidRPr="00A7748B" w:rsidTr="0055592C">
        <w:tc>
          <w:tcPr>
            <w:tcW w:w="1250" w:type="pct"/>
          </w:tcPr>
          <w:p w:rsidR="00AC4DC2" w:rsidRPr="00A45D29" w:rsidRDefault="00AC4DC2" w:rsidP="0055592C">
            <w:pPr>
              <w:jc w:val="left"/>
              <w:rPr>
                <w:sz w:val="22"/>
                <w:szCs w:val="22"/>
              </w:rPr>
            </w:pPr>
            <w:r w:rsidRPr="00A45D29">
              <w:rPr>
                <w:sz w:val="22"/>
                <w:szCs w:val="22"/>
              </w:rPr>
              <w:t>Implement the new governance requirements including creatin</w:t>
            </w:r>
            <w:r w:rsidR="0055592C">
              <w:rPr>
                <w:sz w:val="22"/>
                <w:szCs w:val="22"/>
              </w:rPr>
              <w:t>g</w:t>
            </w:r>
            <w:r w:rsidRPr="00A45D29">
              <w:rPr>
                <w:sz w:val="22"/>
                <w:szCs w:val="22"/>
              </w:rPr>
              <w:t xml:space="preserve"> and support</w:t>
            </w:r>
            <w:r w:rsidR="0055592C">
              <w:rPr>
                <w:sz w:val="22"/>
                <w:szCs w:val="22"/>
              </w:rPr>
              <w:t xml:space="preserve">ing </w:t>
            </w:r>
            <w:r w:rsidRPr="00A45D29">
              <w:rPr>
                <w:sz w:val="22"/>
                <w:szCs w:val="22"/>
              </w:rPr>
              <w:t>the Local Pension Board</w:t>
            </w:r>
          </w:p>
          <w:p w:rsidR="00AC4DC2" w:rsidRPr="00A45D29" w:rsidRDefault="00AC4DC2" w:rsidP="0055592C">
            <w:pPr>
              <w:jc w:val="left"/>
              <w:rPr>
                <w:sz w:val="22"/>
                <w:szCs w:val="22"/>
              </w:rPr>
            </w:pP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t>Assessment of new legislation and regulatory requirements;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Creation of appropriate structures;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LPB members elected and Chair appointed;</w:t>
            </w:r>
          </w:p>
          <w:p w:rsidR="00AD60DE" w:rsidRDefault="00AC4DC2" w:rsidP="0055592C">
            <w:pPr>
              <w:pStyle w:val="ListParagraph"/>
              <w:numPr>
                <w:ilvl w:val="0"/>
                <w:numId w:val="11"/>
              </w:numPr>
              <w:ind w:left="179" w:hanging="179"/>
              <w:jc w:val="left"/>
              <w:rPr>
                <w:sz w:val="22"/>
                <w:szCs w:val="22"/>
              </w:rPr>
            </w:pPr>
            <w:r w:rsidRPr="00A45D29">
              <w:rPr>
                <w:sz w:val="22"/>
                <w:szCs w:val="22"/>
              </w:rPr>
              <w:lastRenderedPageBreak/>
              <w:t>LPB meetings to commence by 31 July 2015</w:t>
            </w:r>
            <w:r w:rsidR="00AD60DE">
              <w:rPr>
                <w:sz w:val="22"/>
                <w:szCs w:val="22"/>
              </w:rPr>
              <w:t>;</w:t>
            </w:r>
          </w:p>
          <w:p w:rsidR="00AC4DC2" w:rsidRPr="00A45D29" w:rsidRDefault="00AD60DE" w:rsidP="0055592C">
            <w:pPr>
              <w:pStyle w:val="ListParagraph"/>
              <w:numPr>
                <w:ilvl w:val="0"/>
                <w:numId w:val="11"/>
              </w:numPr>
              <w:ind w:left="179" w:hanging="179"/>
              <w:jc w:val="left"/>
              <w:rPr>
                <w:sz w:val="22"/>
                <w:szCs w:val="22"/>
              </w:rPr>
            </w:pPr>
            <w:r>
              <w:rPr>
                <w:sz w:val="22"/>
                <w:szCs w:val="22"/>
              </w:rPr>
              <w:t>Comprehensive and ongoing training of PFC and LPB members</w:t>
            </w:r>
            <w:r w:rsidR="00AC4DC2" w:rsidRPr="00A45D29">
              <w:rPr>
                <w:sz w:val="22"/>
                <w:szCs w:val="22"/>
              </w:rPr>
              <w:t>.</w:t>
            </w: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lastRenderedPageBreak/>
              <w:t>Independent review of Fund governance;</w:t>
            </w:r>
          </w:p>
          <w:p w:rsidR="00AC4DC2" w:rsidRDefault="00AC4DC2" w:rsidP="0055592C">
            <w:pPr>
              <w:pStyle w:val="ListParagraph"/>
              <w:numPr>
                <w:ilvl w:val="0"/>
                <w:numId w:val="11"/>
              </w:numPr>
              <w:ind w:left="179" w:hanging="179"/>
              <w:jc w:val="left"/>
              <w:rPr>
                <w:sz w:val="22"/>
                <w:szCs w:val="22"/>
              </w:rPr>
            </w:pPr>
            <w:r w:rsidRPr="00A45D29">
              <w:rPr>
                <w:sz w:val="22"/>
                <w:szCs w:val="22"/>
              </w:rPr>
              <w:t xml:space="preserve">LPB in place, undertaking relevant </w:t>
            </w:r>
            <w:r w:rsidR="0055592C" w:rsidRPr="00A45D29">
              <w:rPr>
                <w:sz w:val="22"/>
                <w:szCs w:val="22"/>
              </w:rPr>
              <w:t>work plan</w:t>
            </w:r>
            <w:r w:rsidRPr="00A45D29">
              <w:rPr>
                <w:sz w:val="22"/>
                <w:szCs w:val="22"/>
              </w:rPr>
              <w:t>;</w:t>
            </w:r>
          </w:p>
          <w:p w:rsidR="00AC4DC2" w:rsidRPr="00A45D29" w:rsidRDefault="00AD60DE" w:rsidP="0055592C">
            <w:pPr>
              <w:pStyle w:val="ListParagraph"/>
              <w:numPr>
                <w:ilvl w:val="0"/>
                <w:numId w:val="11"/>
              </w:numPr>
              <w:ind w:left="179" w:hanging="179"/>
              <w:jc w:val="left"/>
              <w:rPr>
                <w:sz w:val="22"/>
                <w:szCs w:val="22"/>
              </w:rPr>
            </w:pPr>
            <w:r>
              <w:rPr>
                <w:sz w:val="22"/>
                <w:szCs w:val="22"/>
              </w:rPr>
              <w:t>Positive a</w:t>
            </w:r>
            <w:r w:rsidR="00AC4DC2" w:rsidRPr="00A45D29">
              <w:rPr>
                <w:sz w:val="22"/>
                <w:szCs w:val="22"/>
              </w:rPr>
              <w:t xml:space="preserve">ssessment of PFC </w:t>
            </w:r>
            <w:r>
              <w:rPr>
                <w:sz w:val="22"/>
                <w:szCs w:val="22"/>
              </w:rPr>
              <w:t xml:space="preserve">skills, knowledge, and </w:t>
            </w:r>
            <w:r w:rsidR="00AC4DC2" w:rsidRPr="00A45D29">
              <w:rPr>
                <w:sz w:val="22"/>
                <w:szCs w:val="22"/>
              </w:rPr>
              <w:t>effectiveness.</w:t>
            </w:r>
          </w:p>
          <w:p w:rsidR="00AC4DC2" w:rsidRPr="00A45D29" w:rsidRDefault="00AC4DC2" w:rsidP="0055592C">
            <w:pPr>
              <w:pStyle w:val="ListParagraph"/>
              <w:ind w:left="179"/>
              <w:jc w:val="left"/>
              <w:rPr>
                <w:sz w:val="22"/>
                <w:szCs w:val="22"/>
              </w:rPr>
            </w:pPr>
          </w:p>
        </w:tc>
        <w:tc>
          <w:tcPr>
            <w:tcW w:w="1250" w:type="pct"/>
          </w:tcPr>
          <w:p w:rsidR="00AC4DC2" w:rsidRPr="00A45D29" w:rsidRDefault="00AC4DC2" w:rsidP="0055592C">
            <w:pPr>
              <w:jc w:val="left"/>
              <w:rPr>
                <w:sz w:val="22"/>
                <w:szCs w:val="22"/>
              </w:rPr>
            </w:pPr>
            <w:r w:rsidRPr="00A45D29">
              <w:rPr>
                <w:sz w:val="22"/>
                <w:szCs w:val="22"/>
              </w:rPr>
              <w:lastRenderedPageBreak/>
              <w:t>LPB in place by 1 April 2015</w:t>
            </w:r>
          </w:p>
          <w:p w:rsidR="00AC4DC2" w:rsidRPr="00A45D29" w:rsidRDefault="00AC4DC2" w:rsidP="0055592C">
            <w:pPr>
              <w:jc w:val="left"/>
              <w:rPr>
                <w:sz w:val="22"/>
                <w:szCs w:val="22"/>
              </w:rPr>
            </w:pPr>
            <w:r w:rsidRPr="00A45D29">
              <w:rPr>
                <w:sz w:val="22"/>
                <w:szCs w:val="22"/>
              </w:rPr>
              <w:t>Governance review by 3</w:t>
            </w:r>
            <w:r w:rsidR="00DF2B38">
              <w:rPr>
                <w:sz w:val="22"/>
                <w:szCs w:val="22"/>
              </w:rPr>
              <w:t>1</w:t>
            </w:r>
            <w:r w:rsidRPr="00A45D29">
              <w:rPr>
                <w:sz w:val="22"/>
                <w:szCs w:val="22"/>
              </w:rPr>
              <w:t xml:space="preserve"> </w:t>
            </w:r>
            <w:r w:rsidR="00DF2B38">
              <w:rPr>
                <w:sz w:val="22"/>
                <w:szCs w:val="22"/>
              </w:rPr>
              <w:t xml:space="preserve">December </w:t>
            </w:r>
            <w:r w:rsidRPr="00A45D29">
              <w:rPr>
                <w:sz w:val="22"/>
                <w:szCs w:val="22"/>
              </w:rPr>
              <w:t>201</w:t>
            </w:r>
            <w:r w:rsidR="00DF2B38">
              <w:rPr>
                <w:sz w:val="22"/>
                <w:szCs w:val="22"/>
              </w:rPr>
              <w:t>5</w:t>
            </w:r>
          </w:p>
          <w:p w:rsidR="00AC4DC2" w:rsidRDefault="00AC4DC2" w:rsidP="0055592C">
            <w:pPr>
              <w:jc w:val="left"/>
              <w:rPr>
                <w:sz w:val="22"/>
                <w:szCs w:val="22"/>
              </w:rPr>
            </w:pPr>
            <w:r w:rsidRPr="00A45D29">
              <w:rPr>
                <w:sz w:val="22"/>
                <w:szCs w:val="22"/>
              </w:rPr>
              <w:t>Confirmation of new structures by 31 March 2016</w:t>
            </w:r>
          </w:p>
          <w:p w:rsidR="00AD60DE" w:rsidRPr="00A45D29" w:rsidRDefault="006D1B63" w:rsidP="0055592C">
            <w:pPr>
              <w:jc w:val="left"/>
              <w:rPr>
                <w:sz w:val="22"/>
                <w:szCs w:val="22"/>
              </w:rPr>
            </w:pPr>
            <w:r>
              <w:rPr>
                <w:sz w:val="22"/>
                <w:szCs w:val="22"/>
              </w:rPr>
              <w:lastRenderedPageBreak/>
              <w:t>Ongoing member training</w:t>
            </w:r>
          </w:p>
          <w:p w:rsidR="00AC4DC2" w:rsidRPr="00A45D29" w:rsidRDefault="00AC4DC2" w:rsidP="0055592C">
            <w:pPr>
              <w:jc w:val="left"/>
              <w:rPr>
                <w:sz w:val="22"/>
                <w:szCs w:val="22"/>
              </w:rPr>
            </w:pPr>
          </w:p>
        </w:tc>
      </w:tr>
    </w:tbl>
    <w:p w:rsidR="006D1B63" w:rsidRDefault="006D1B63"/>
    <w:p w:rsidR="006D1B63" w:rsidRDefault="006D1B63">
      <w:pPr>
        <w:autoSpaceDE/>
        <w:autoSpaceDN/>
        <w:adjustRightInd/>
        <w:spacing w:after="0"/>
        <w:jc w:val="left"/>
      </w:pPr>
      <w:r>
        <w:br w:type="page"/>
      </w:r>
    </w:p>
    <w:tbl>
      <w:tblPr>
        <w:tblStyle w:val="TableGrid"/>
        <w:tblW w:w="5000" w:type="pct"/>
        <w:tblLook w:val="04A0" w:firstRow="1" w:lastRow="0" w:firstColumn="1" w:lastColumn="0" w:noHBand="0" w:noVBand="1"/>
      </w:tblPr>
      <w:tblGrid>
        <w:gridCol w:w="2436"/>
        <w:gridCol w:w="2435"/>
        <w:gridCol w:w="2435"/>
        <w:gridCol w:w="2435"/>
      </w:tblGrid>
      <w:tr w:rsidR="006D1B63" w:rsidRPr="00A45D29" w:rsidTr="0055592C">
        <w:tc>
          <w:tcPr>
            <w:tcW w:w="1250" w:type="pct"/>
          </w:tcPr>
          <w:p w:rsidR="006D1B63" w:rsidRPr="00A45D29" w:rsidRDefault="006D1B63" w:rsidP="00501F5C">
            <w:pPr>
              <w:rPr>
                <w:b/>
                <w:sz w:val="22"/>
                <w:szCs w:val="22"/>
              </w:rPr>
            </w:pPr>
            <w:r w:rsidRPr="00A45D29">
              <w:rPr>
                <w:b/>
                <w:sz w:val="22"/>
                <w:szCs w:val="22"/>
              </w:rPr>
              <w:lastRenderedPageBreak/>
              <w:t>Action</w:t>
            </w:r>
          </w:p>
        </w:tc>
        <w:tc>
          <w:tcPr>
            <w:tcW w:w="1250" w:type="pct"/>
          </w:tcPr>
          <w:p w:rsidR="006D1B63" w:rsidRPr="00A45D29" w:rsidRDefault="006D1B63" w:rsidP="00501F5C">
            <w:pPr>
              <w:rPr>
                <w:b/>
                <w:sz w:val="22"/>
                <w:szCs w:val="22"/>
              </w:rPr>
            </w:pPr>
            <w:r w:rsidRPr="00A45D29">
              <w:rPr>
                <w:b/>
                <w:sz w:val="22"/>
                <w:szCs w:val="22"/>
              </w:rPr>
              <w:t>How will this be achieved?</w:t>
            </w:r>
          </w:p>
        </w:tc>
        <w:tc>
          <w:tcPr>
            <w:tcW w:w="1250" w:type="pct"/>
          </w:tcPr>
          <w:p w:rsidR="006D1B63" w:rsidRPr="00A45D29" w:rsidRDefault="006D1B63" w:rsidP="00501F5C">
            <w:pPr>
              <w:rPr>
                <w:b/>
                <w:sz w:val="22"/>
                <w:szCs w:val="22"/>
              </w:rPr>
            </w:pPr>
            <w:r w:rsidRPr="00A45D29">
              <w:rPr>
                <w:b/>
                <w:sz w:val="22"/>
                <w:szCs w:val="22"/>
              </w:rPr>
              <w:t>How will success be measured?</w:t>
            </w:r>
          </w:p>
        </w:tc>
        <w:tc>
          <w:tcPr>
            <w:tcW w:w="1250" w:type="pct"/>
          </w:tcPr>
          <w:p w:rsidR="006D1B63" w:rsidRPr="00A45D29" w:rsidRDefault="006D1B63" w:rsidP="00501F5C">
            <w:pPr>
              <w:rPr>
                <w:b/>
                <w:sz w:val="22"/>
                <w:szCs w:val="22"/>
              </w:rPr>
            </w:pPr>
            <w:r w:rsidRPr="00A45D29">
              <w:rPr>
                <w:b/>
                <w:sz w:val="22"/>
                <w:szCs w:val="22"/>
              </w:rPr>
              <w:t>Timescale</w:t>
            </w:r>
          </w:p>
        </w:tc>
      </w:tr>
      <w:tr w:rsidR="00AC4DC2" w:rsidRPr="00A7748B" w:rsidTr="0055592C">
        <w:trPr>
          <w:trHeight w:val="2528"/>
        </w:trPr>
        <w:tc>
          <w:tcPr>
            <w:tcW w:w="1250" w:type="pct"/>
          </w:tcPr>
          <w:p w:rsidR="00AC4DC2" w:rsidRPr="00A45D29" w:rsidRDefault="00AC4DC2" w:rsidP="0055592C">
            <w:pPr>
              <w:jc w:val="left"/>
              <w:rPr>
                <w:sz w:val="22"/>
                <w:szCs w:val="22"/>
              </w:rPr>
            </w:pPr>
            <w:r w:rsidRPr="00A45D29">
              <w:rPr>
                <w:sz w:val="22"/>
                <w:szCs w:val="22"/>
              </w:rPr>
              <w:t>Put in place an effective workforce planning and development approach to provide  increased capacity to be innovative and</w:t>
            </w:r>
            <w:r w:rsidR="0055592C">
              <w:rPr>
                <w:sz w:val="22"/>
                <w:szCs w:val="22"/>
              </w:rPr>
              <w:t xml:space="preserve"> the </w:t>
            </w:r>
            <w:r w:rsidRPr="00A45D29">
              <w:rPr>
                <w:sz w:val="22"/>
                <w:szCs w:val="22"/>
              </w:rPr>
              <w:t xml:space="preserve"> ability to support individuals to realise their potential</w:t>
            </w: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t>LCPF workforce development policy created;</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Skills audit and requirements assessed;</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Training needs assessment;</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Coaching and mentoring provision;</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S</w:t>
            </w:r>
            <w:r w:rsidR="00A45D29">
              <w:rPr>
                <w:sz w:val="22"/>
                <w:szCs w:val="22"/>
              </w:rPr>
              <w:t>uccession planning arrangements;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On the job training and formal training where required.</w:t>
            </w:r>
          </w:p>
        </w:tc>
        <w:tc>
          <w:tcPr>
            <w:tcW w:w="1250" w:type="pct"/>
          </w:tcPr>
          <w:p w:rsidR="0055592C" w:rsidRDefault="00AC4DC2" w:rsidP="0055592C">
            <w:pPr>
              <w:pStyle w:val="ListParagraph"/>
              <w:numPr>
                <w:ilvl w:val="0"/>
                <w:numId w:val="11"/>
              </w:numPr>
              <w:ind w:left="179" w:hanging="179"/>
              <w:jc w:val="left"/>
              <w:rPr>
                <w:sz w:val="22"/>
                <w:szCs w:val="22"/>
              </w:rPr>
            </w:pPr>
            <w:r w:rsidRPr="00A45D29">
              <w:rPr>
                <w:sz w:val="22"/>
                <w:szCs w:val="22"/>
              </w:rPr>
              <w:t>Workforce development policy in place and co</w:t>
            </w:r>
            <w:r w:rsidR="0055592C">
              <w:rPr>
                <w:sz w:val="22"/>
                <w:szCs w:val="22"/>
              </w:rPr>
              <w:t>mmunicated to all stakeholders.</w:t>
            </w:r>
          </w:p>
          <w:p w:rsidR="00AC4DC2" w:rsidRPr="00A45D29" w:rsidRDefault="0055592C" w:rsidP="0055592C">
            <w:pPr>
              <w:pStyle w:val="ListParagraph"/>
              <w:numPr>
                <w:ilvl w:val="0"/>
                <w:numId w:val="11"/>
              </w:numPr>
              <w:ind w:left="179" w:hanging="179"/>
              <w:jc w:val="left"/>
              <w:rPr>
                <w:sz w:val="22"/>
                <w:szCs w:val="22"/>
              </w:rPr>
            </w:pPr>
            <w:r>
              <w:rPr>
                <w:sz w:val="22"/>
                <w:szCs w:val="22"/>
              </w:rPr>
              <w:t>I</w:t>
            </w:r>
            <w:r w:rsidR="00AC4DC2" w:rsidRPr="00A45D29">
              <w:rPr>
                <w:sz w:val="22"/>
                <w:szCs w:val="22"/>
              </w:rPr>
              <w:t>ntegration with PDR requirements;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TNA undertaken for each officer;</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 xml:space="preserve">Training plans in place with </w:t>
            </w:r>
            <w:r w:rsidR="0055592C">
              <w:rPr>
                <w:sz w:val="22"/>
                <w:szCs w:val="22"/>
              </w:rPr>
              <w:t xml:space="preserve">a </w:t>
            </w:r>
            <w:r w:rsidRPr="00A45D29">
              <w:rPr>
                <w:sz w:val="22"/>
                <w:szCs w:val="22"/>
              </w:rPr>
              <w:t>variety of</w:t>
            </w:r>
            <w:r w:rsidR="0055592C">
              <w:rPr>
                <w:sz w:val="22"/>
                <w:szCs w:val="22"/>
              </w:rPr>
              <w:t xml:space="preserve"> </w:t>
            </w:r>
            <w:r w:rsidRPr="00A45D29">
              <w:rPr>
                <w:sz w:val="22"/>
                <w:szCs w:val="22"/>
              </w:rPr>
              <w:t>methods employed;</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Career ladder in place;</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Mentor</w:t>
            </w:r>
            <w:r w:rsidR="0055592C">
              <w:rPr>
                <w:sz w:val="22"/>
                <w:szCs w:val="22"/>
              </w:rPr>
              <w:t>ing</w:t>
            </w:r>
            <w:r w:rsidRPr="00A45D29">
              <w:rPr>
                <w:sz w:val="22"/>
                <w:szCs w:val="22"/>
              </w:rPr>
              <w:t xml:space="preserve"> sessions being held where appropriate.</w:t>
            </w:r>
          </w:p>
        </w:tc>
        <w:tc>
          <w:tcPr>
            <w:tcW w:w="1250" w:type="pct"/>
          </w:tcPr>
          <w:p w:rsidR="00AC4DC2" w:rsidRPr="00A45D29" w:rsidRDefault="00AC4DC2" w:rsidP="0055592C">
            <w:pPr>
              <w:jc w:val="left"/>
              <w:rPr>
                <w:sz w:val="22"/>
                <w:szCs w:val="22"/>
              </w:rPr>
            </w:pPr>
            <w:r w:rsidRPr="00A45D29">
              <w:rPr>
                <w:sz w:val="22"/>
                <w:szCs w:val="22"/>
              </w:rPr>
              <w:t>Workforce policy and career ladder by 30 September 2015</w:t>
            </w:r>
          </w:p>
          <w:p w:rsidR="00AC4DC2" w:rsidRPr="00A45D29" w:rsidRDefault="00AC4DC2" w:rsidP="0055592C">
            <w:pPr>
              <w:jc w:val="left"/>
              <w:rPr>
                <w:sz w:val="22"/>
                <w:szCs w:val="22"/>
              </w:rPr>
            </w:pPr>
            <w:r w:rsidRPr="00A45D29">
              <w:rPr>
                <w:sz w:val="22"/>
                <w:szCs w:val="22"/>
              </w:rPr>
              <w:t>TNA and training plans by 31 March 2016</w:t>
            </w:r>
          </w:p>
          <w:p w:rsidR="00AC4DC2" w:rsidRPr="00A45D29" w:rsidRDefault="00AC4DC2" w:rsidP="0055592C">
            <w:pPr>
              <w:jc w:val="left"/>
              <w:rPr>
                <w:sz w:val="22"/>
                <w:szCs w:val="22"/>
              </w:rPr>
            </w:pPr>
            <w:r w:rsidRPr="00A45D29">
              <w:rPr>
                <w:sz w:val="22"/>
                <w:szCs w:val="22"/>
              </w:rPr>
              <w:t>Mentoring established and operating by 31 March 2016</w:t>
            </w:r>
          </w:p>
        </w:tc>
      </w:tr>
      <w:tr w:rsidR="00AC4DC2" w:rsidRPr="00A7748B" w:rsidTr="0055592C">
        <w:tc>
          <w:tcPr>
            <w:tcW w:w="1250" w:type="pct"/>
          </w:tcPr>
          <w:p w:rsidR="00AC4DC2" w:rsidRPr="00A45D29" w:rsidRDefault="00AC4DC2" w:rsidP="0055592C">
            <w:pPr>
              <w:jc w:val="left"/>
              <w:rPr>
                <w:sz w:val="22"/>
                <w:szCs w:val="22"/>
              </w:rPr>
            </w:pPr>
            <w:r w:rsidRPr="00A45D29">
              <w:rPr>
                <w:sz w:val="22"/>
                <w:szCs w:val="22"/>
              </w:rPr>
              <w:t>Review the effectiveness of Fund governance</w:t>
            </w:r>
          </w:p>
          <w:p w:rsidR="00AC4DC2" w:rsidRPr="00A45D29" w:rsidRDefault="00AC4DC2" w:rsidP="0055592C">
            <w:pPr>
              <w:jc w:val="left"/>
              <w:rPr>
                <w:sz w:val="22"/>
                <w:szCs w:val="22"/>
              </w:rPr>
            </w:pP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t>Assessment of decision-making processes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Policy and process review;</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Links to compliance monitoring processes;</w:t>
            </w:r>
          </w:p>
          <w:p w:rsidR="00AC4DC2" w:rsidRPr="00A45D29" w:rsidRDefault="00AC4DC2" w:rsidP="0055592C">
            <w:pPr>
              <w:pStyle w:val="ListParagraph"/>
              <w:ind w:left="179"/>
              <w:jc w:val="left"/>
              <w:rPr>
                <w:sz w:val="22"/>
                <w:szCs w:val="22"/>
              </w:rPr>
            </w:pP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t>Independent review including external audit and LPB;</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Agreement and approval of revised processes;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Governance element incorporated into compliance monitoring.</w:t>
            </w:r>
          </w:p>
        </w:tc>
        <w:tc>
          <w:tcPr>
            <w:tcW w:w="1250" w:type="pct"/>
          </w:tcPr>
          <w:p w:rsidR="00AC4DC2" w:rsidRPr="00A45D29" w:rsidRDefault="00AC4DC2" w:rsidP="0055592C">
            <w:pPr>
              <w:jc w:val="left"/>
              <w:rPr>
                <w:sz w:val="22"/>
                <w:szCs w:val="22"/>
              </w:rPr>
            </w:pPr>
            <w:r w:rsidRPr="00A45D29">
              <w:rPr>
                <w:sz w:val="22"/>
                <w:szCs w:val="22"/>
              </w:rPr>
              <w:t>Governance review by 30 September 2015</w:t>
            </w:r>
          </w:p>
          <w:p w:rsidR="00AC4DC2" w:rsidRPr="00A45D29" w:rsidRDefault="00AC4DC2" w:rsidP="0055592C">
            <w:pPr>
              <w:jc w:val="left"/>
              <w:rPr>
                <w:sz w:val="22"/>
                <w:szCs w:val="22"/>
              </w:rPr>
            </w:pPr>
            <w:r w:rsidRPr="00A45D29">
              <w:rPr>
                <w:sz w:val="22"/>
                <w:szCs w:val="22"/>
              </w:rPr>
              <w:t>PFC approval by 30 November 2015</w:t>
            </w:r>
          </w:p>
          <w:p w:rsidR="00AC4DC2" w:rsidRPr="00A45D29" w:rsidRDefault="00AC4DC2" w:rsidP="0055592C">
            <w:pPr>
              <w:jc w:val="left"/>
              <w:rPr>
                <w:sz w:val="22"/>
                <w:szCs w:val="22"/>
              </w:rPr>
            </w:pPr>
            <w:r w:rsidRPr="00A45D29">
              <w:rPr>
                <w:sz w:val="22"/>
                <w:szCs w:val="22"/>
              </w:rPr>
              <w:t>Compliance monitoring programme in place by 1 April 2015</w:t>
            </w:r>
          </w:p>
        </w:tc>
      </w:tr>
      <w:tr w:rsidR="00AC4DC2" w:rsidRPr="00A7748B" w:rsidTr="0055592C">
        <w:tc>
          <w:tcPr>
            <w:tcW w:w="1250" w:type="pct"/>
          </w:tcPr>
          <w:p w:rsidR="00AC4DC2" w:rsidRPr="00A45D29" w:rsidRDefault="00AC4DC2" w:rsidP="0055592C">
            <w:pPr>
              <w:jc w:val="left"/>
              <w:rPr>
                <w:sz w:val="22"/>
                <w:szCs w:val="22"/>
              </w:rPr>
            </w:pPr>
            <w:r w:rsidRPr="00A45D29">
              <w:rPr>
                <w:sz w:val="22"/>
                <w:szCs w:val="22"/>
              </w:rPr>
              <w:t xml:space="preserve">Continue to explore the potential opportunities arising from collaboration with other Funds within both Local </w:t>
            </w:r>
            <w:r w:rsidRPr="00A45D29">
              <w:rPr>
                <w:sz w:val="22"/>
                <w:szCs w:val="22"/>
              </w:rPr>
              <w:lastRenderedPageBreak/>
              <w:t>Government Pension Scheme, and wider Pension Fund community</w:t>
            </w:r>
          </w:p>
          <w:p w:rsidR="00AC4DC2" w:rsidRPr="00A45D29" w:rsidRDefault="00AC4DC2" w:rsidP="0055592C">
            <w:pPr>
              <w:jc w:val="left"/>
              <w:rPr>
                <w:sz w:val="22"/>
                <w:szCs w:val="22"/>
              </w:rPr>
            </w:pP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lastRenderedPageBreak/>
              <w:t>Take legal advice to create appropriate structure which is scalable;</w:t>
            </w:r>
          </w:p>
          <w:p w:rsidR="0055592C" w:rsidRDefault="00AC4DC2" w:rsidP="0055592C">
            <w:pPr>
              <w:pStyle w:val="ListParagraph"/>
              <w:numPr>
                <w:ilvl w:val="0"/>
                <w:numId w:val="11"/>
              </w:numPr>
              <w:ind w:left="179" w:hanging="179"/>
              <w:jc w:val="left"/>
              <w:rPr>
                <w:sz w:val="22"/>
                <w:szCs w:val="22"/>
              </w:rPr>
            </w:pPr>
            <w:r w:rsidRPr="00A45D29">
              <w:rPr>
                <w:sz w:val="22"/>
                <w:szCs w:val="22"/>
              </w:rPr>
              <w:t>Progress L</w:t>
            </w:r>
            <w:r w:rsidR="00D31F65">
              <w:rPr>
                <w:sz w:val="22"/>
                <w:szCs w:val="22"/>
              </w:rPr>
              <w:t xml:space="preserve">ondon </w:t>
            </w:r>
            <w:r w:rsidRPr="00A45D29">
              <w:rPr>
                <w:sz w:val="22"/>
                <w:szCs w:val="22"/>
              </w:rPr>
              <w:t>P</w:t>
            </w:r>
            <w:r w:rsidR="00D31F65">
              <w:rPr>
                <w:sz w:val="22"/>
                <w:szCs w:val="22"/>
              </w:rPr>
              <w:t xml:space="preserve">ension </w:t>
            </w:r>
            <w:r w:rsidRPr="00A45D29">
              <w:rPr>
                <w:sz w:val="22"/>
                <w:szCs w:val="22"/>
              </w:rPr>
              <w:t>F</w:t>
            </w:r>
            <w:r w:rsidR="00D31F65">
              <w:rPr>
                <w:sz w:val="22"/>
                <w:szCs w:val="22"/>
              </w:rPr>
              <w:t xml:space="preserve">und </w:t>
            </w:r>
            <w:r w:rsidRPr="00A45D29">
              <w:rPr>
                <w:sz w:val="22"/>
                <w:szCs w:val="22"/>
              </w:rPr>
              <w:lastRenderedPageBreak/>
              <w:t>A</w:t>
            </w:r>
            <w:r w:rsidR="00D31F65">
              <w:rPr>
                <w:sz w:val="22"/>
                <w:szCs w:val="22"/>
              </w:rPr>
              <w:t>uthority (LPFA)</w:t>
            </w:r>
            <w:r w:rsidRPr="00A45D29">
              <w:rPr>
                <w:sz w:val="22"/>
                <w:szCs w:val="22"/>
              </w:rPr>
              <w:t xml:space="preserve"> collaboration as first step</w:t>
            </w:r>
            <w:r w:rsidR="0055592C">
              <w:rPr>
                <w:sz w:val="22"/>
                <w:szCs w:val="22"/>
              </w:rPr>
              <w:t xml:space="preserve"> on this journey.</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Identify areas where collaboration may be beneficial.</w:t>
            </w: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lastRenderedPageBreak/>
              <w:t>Approval of appropriate vehicles and governance for pooling and collaboration;</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lastRenderedPageBreak/>
              <w:t>Demonstration of appropriate cost/ benefit analysis;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Ability for scaling to other interested parties.</w:t>
            </w:r>
          </w:p>
        </w:tc>
        <w:tc>
          <w:tcPr>
            <w:tcW w:w="1250" w:type="pct"/>
          </w:tcPr>
          <w:p w:rsidR="00AC4DC2" w:rsidRPr="00A45D29" w:rsidRDefault="00AC4DC2" w:rsidP="0055592C">
            <w:pPr>
              <w:jc w:val="left"/>
              <w:rPr>
                <w:sz w:val="22"/>
                <w:szCs w:val="22"/>
              </w:rPr>
            </w:pPr>
            <w:r w:rsidRPr="00A45D29">
              <w:rPr>
                <w:sz w:val="22"/>
                <w:szCs w:val="22"/>
              </w:rPr>
              <w:lastRenderedPageBreak/>
              <w:t>Decision on LPFA collaboration by 3</w:t>
            </w:r>
            <w:r w:rsidR="004901C3">
              <w:rPr>
                <w:sz w:val="22"/>
                <w:szCs w:val="22"/>
              </w:rPr>
              <w:t>1st July</w:t>
            </w:r>
            <w:r w:rsidRPr="00A45D29">
              <w:rPr>
                <w:sz w:val="22"/>
                <w:szCs w:val="22"/>
              </w:rPr>
              <w:t xml:space="preserve"> 2015</w:t>
            </w:r>
          </w:p>
          <w:p w:rsidR="00AC4DC2" w:rsidRPr="00A45D29" w:rsidRDefault="00AC4DC2" w:rsidP="0055592C">
            <w:pPr>
              <w:jc w:val="left"/>
              <w:rPr>
                <w:sz w:val="22"/>
                <w:szCs w:val="22"/>
              </w:rPr>
            </w:pPr>
            <w:r w:rsidRPr="00A45D29">
              <w:rPr>
                <w:sz w:val="22"/>
                <w:szCs w:val="22"/>
              </w:rPr>
              <w:t xml:space="preserve">Depending upon above, creation of </w:t>
            </w:r>
            <w:r w:rsidRPr="00A45D29">
              <w:rPr>
                <w:sz w:val="22"/>
                <w:szCs w:val="22"/>
              </w:rPr>
              <w:lastRenderedPageBreak/>
              <w:t xml:space="preserve">appropriate vehicle by 31 </w:t>
            </w:r>
            <w:r w:rsidR="006D1B63">
              <w:rPr>
                <w:sz w:val="22"/>
                <w:szCs w:val="22"/>
              </w:rPr>
              <w:t>March 2016</w:t>
            </w:r>
          </w:p>
        </w:tc>
      </w:tr>
      <w:tr w:rsidR="00AC4DC2" w:rsidRPr="00A7748B" w:rsidTr="0055592C">
        <w:tc>
          <w:tcPr>
            <w:tcW w:w="1250" w:type="pct"/>
          </w:tcPr>
          <w:p w:rsidR="00AC4DC2" w:rsidRPr="00A45D29" w:rsidRDefault="00AC4DC2" w:rsidP="0055592C">
            <w:pPr>
              <w:jc w:val="left"/>
              <w:rPr>
                <w:sz w:val="22"/>
                <w:szCs w:val="22"/>
              </w:rPr>
            </w:pPr>
            <w:r w:rsidRPr="00A45D29">
              <w:rPr>
                <w:sz w:val="22"/>
                <w:szCs w:val="22"/>
              </w:rPr>
              <w:lastRenderedPageBreak/>
              <w:t>Continue to develop and implement an effective compliance and monitoring programme</w:t>
            </w:r>
          </w:p>
          <w:p w:rsidR="00AC4DC2" w:rsidRPr="00A45D29" w:rsidRDefault="00AC4DC2" w:rsidP="0055592C">
            <w:pPr>
              <w:jc w:val="left"/>
              <w:rPr>
                <w:sz w:val="22"/>
                <w:szCs w:val="22"/>
              </w:rPr>
            </w:pP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t>Finalisation of Compliance Manual;</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Implementation of compliance monitoring programme including monthly, quarterly, and annual tests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Development of PFC reporting regime.</w:t>
            </w:r>
          </w:p>
        </w:tc>
        <w:tc>
          <w:tcPr>
            <w:tcW w:w="1250" w:type="pct"/>
          </w:tcPr>
          <w:p w:rsidR="00AC4DC2" w:rsidRPr="00A45D29" w:rsidRDefault="00AC4DC2" w:rsidP="0055592C">
            <w:pPr>
              <w:pStyle w:val="ListParagraph"/>
              <w:numPr>
                <w:ilvl w:val="0"/>
                <w:numId w:val="11"/>
              </w:numPr>
              <w:ind w:left="179" w:hanging="179"/>
              <w:jc w:val="left"/>
              <w:rPr>
                <w:sz w:val="22"/>
                <w:szCs w:val="22"/>
              </w:rPr>
            </w:pPr>
            <w:r w:rsidRPr="00A45D29">
              <w:rPr>
                <w:sz w:val="22"/>
                <w:szCs w:val="22"/>
              </w:rPr>
              <w:t>Agreed Compliance Manual distributed to stakeholders;</w:t>
            </w:r>
          </w:p>
          <w:p w:rsidR="00AC4DC2" w:rsidRPr="00A45D29" w:rsidRDefault="00AC4DC2" w:rsidP="0055592C">
            <w:pPr>
              <w:pStyle w:val="ListParagraph"/>
              <w:numPr>
                <w:ilvl w:val="0"/>
                <w:numId w:val="11"/>
              </w:numPr>
              <w:ind w:left="179" w:hanging="179"/>
              <w:jc w:val="left"/>
              <w:rPr>
                <w:sz w:val="22"/>
                <w:szCs w:val="22"/>
              </w:rPr>
            </w:pPr>
            <w:r w:rsidRPr="00A45D29">
              <w:rPr>
                <w:sz w:val="22"/>
                <w:szCs w:val="22"/>
              </w:rPr>
              <w:t>Compliance monitoring programme in place and assurance reported/ actions planned.</w:t>
            </w:r>
          </w:p>
        </w:tc>
        <w:tc>
          <w:tcPr>
            <w:tcW w:w="1250" w:type="pct"/>
          </w:tcPr>
          <w:p w:rsidR="00AC4DC2" w:rsidRPr="00A45D29" w:rsidRDefault="00AC4DC2" w:rsidP="0055592C">
            <w:pPr>
              <w:jc w:val="left"/>
              <w:rPr>
                <w:sz w:val="22"/>
                <w:szCs w:val="22"/>
              </w:rPr>
            </w:pPr>
            <w:r w:rsidRPr="00A45D29">
              <w:rPr>
                <w:sz w:val="22"/>
                <w:szCs w:val="22"/>
              </w:rPr>
              <w:t>Manual agreed by 31 March 2015</w:t>
            </w:r>
          </w:p>
          <w:p w:rsidR="00AC4DC2" w:rsidRPr="00A45D29" w:rsidRDefault="00AC4DC2" w:rsidP="0055592C">
            <w:pPr>
              <w:jc w:val="left"/>
              <w:rPr>
                <w:sz w:val="22"/>
                <w:szCs w:val="22"/>
              </w:rPr>
            </w:pPr>
            <w:r w:rsidRPr="00A45D29">
              <w:rPr>
                <w:sz w:val="22"/>
                <w:szCs w:val="22"/>
              </w:rPr>
              <w:t>Monitoring programme from 1 April 2015</w:t>
            </w:r>
          </w:p>
          <w:p w:rsidR="00AC4DC2" w:rsidRPr="00A45D29" w:rsidRDefault="00AC4DC2" w:rsidP="0055592C">
            <w:pPr>
              <w:jc w:val="left"/>
              <w:rPr>
                <w:sz w:val="22"/>
                <w:szCs w:val="22"/>
              </w:rPr>
            </w:pPr>
            <w:r w:rsidRPr="00A45D29">
              <w:rPr>
                <w:sz w:val="22"/>
                <w:szCs w:val="22"/>
              </w:rPr>
              <w:t>First assurance report to PFC June 2015</w:t>
            </w:r>
          </w:p>
        </w:tc>
      </w:tr>
      <w:tr w:rsidR="00B87D91" w:rsidRPr="00A45D29" w:rsidTr="0055592C">
        <w:tc>
          <w:tcPr>
            <w:tcW w:w="1250" w:type="pct"/>
          </w:tcPr>
          <w:p w:rsidR="00B87D91" w:rsidRPr="00A45D29" w:rsidRDefault="00B87D91" w:rsidP="00501F5C">
            <w:pPr>
              <w:rPr>
                <w:b/>
                <w:sz w:val="22"/>
                <w:szCs w:val="22"/>
              </w:rPr>
            </w:pPr>
            <w:r w:rsidRPr="00A45D29">
              <w:rPr>
                <w:b/>
                <w:sz w:val="22"/>
                <w:szCs w:val="22"/>
              </w:rPr>
              <w:t>Action</w:t>
            </w:r>
          </w:p>
        </w:tc>
        <w:tc>
          <w:tcPr>
            <w:tcW w:w="1250" w:type="pct"/>
          </w:tcPr>
          <w:p w:rsidR="00B87D91" w:rsidRPr="00A45D29" w:rsidRDefault="00B87D91" w:rsidP="00501F5C">
            <w:pPr>
              <w:rPr>
                <w:b/>
                <w:sz w:val="22"/>
                <w:szCs w:val="22"/>
              </w:rPr>
            </w:pPr>
            <w:r w:rsidRPr="00A45D29">
              <w:rPr>
                <w:b/>
                <w:sz w:val="22"/>
                <w:szCs w:val="22"/>
              </w:rPr>
              <w:t>How will this be achieved?</w:t>
            </w:r>
          </w:p>
        </w:tc>
        <w:tc>
          <w:tcPr>
            <w:tcW w:w="1250" w:type="pct"/>
          </w:tcPr>
          <w:p w:rsidR="00B87D91" w:rsidRPr="00A45D29" w:rsidRDefault="00B87D91" w:rsidP="00501F5C">
            <w:pPr>
              <w:rPr>
                <w:b/>
                <w:sz w:val="22"/>
                <w:szCs w:val="22"/>
              </w:rPr>
            </w:pPr>
            <w:r w:rsidRPr="00A45D29">
              <w:rPr>
                <w:b/>
                <w:sz w:val="22"/>
                <w:szCs w:val="22"/>
              </w:rPr>
              <w:t>How will success be measured?</w:t>
            </w:r>
          </w:p>
        </w:tc>
        <w:tc>
          <w:tcPr>
            <w:tcW w:w="1250" w:type="pct"/>
          </w:tcPr>
          <w:p w:rsidR="00B87D91" w:rsidRPr="00A45D29" w:rsidRDefault="00B87D91" w:rsidP="00501F5C">
            <w:pPr>
              <w:rPr>
                <w:b/>
                <w:sz w:val="22"/>
                <w:szCs w:val="22"/>
              </w:rPr>
            </w:pPr>
            <w:r w:rsidRPr="00A45D29">
              <w:rPr>
                <w:b/>
                <w:sz w:val="22"/>
                <w:szCs w:val="22"/>
              </w:rPr>
              <w:t>Timescale</w:t>
            </w:r>
          </w:p>
        </w:tc>
      </w:tr>
      <w:tr w:rsidR="00AC4DC2" w:rsidRPr="00A7748B" w:rsidTr="0055592C">
        <w:tc>
          <w:tcPr>
            <w:tcW w:w="1250" w:type="pct"/>
          </w:tcPr>
          <w:p w:rsidR="00AC4DC2" w:rsidRPr="00A45D29" w:rsidRDefault="00AC4DC2" w:rsidP="004901C3">
            <w:pPr>
              <w:jc w:val="left"/>
              <w:rPr>
                <w:sz w:val="22"/>
                <w:szCs w:val="22"/>
              </w:rPr>
            </w:pPr>
            <w:r w:rsidRPr="00A45D29">
              <w:rPr>
                <w:sz w:val="22"/>
                <w:szCs w:val="22"/>
              </w:rPr>
              <w:t>Enhance current risk management processes</w:t>
            </w:r>
          </w:p>
          <w:p w:rsidR="00AC4DC2" w:rsidRPr="00A45D29" w:rsidRDefault="00AC4DC2" w:rsidP="004901C3">
            <w:pPr>
              <w:jc w:val="left"/>
              <w:rPr>
                <w:sz w:val="22"/>
                <w:szCs w:val="22"/>
              </w:rPr>
            </w:pPr>
          </w:p>
        </w:tc>
        <w:tc>
          <w:tcPr>
            <w:tcW w:w="1250" w:type="pct"/>
          </w:tcPr>
          <w:p w:rsidR="00AC4DC2" w:rsidRPr="00A45D29" w:rsidRDefault="00AC4DC2" w:rsidP="004901C3">
            <w:pPr>
              <w:pStyle w:val="ListParagraph"/>
              <w:numPr>
                <w:ilvl w:val="0"/>
                <w:numId w:val="11"/>
              </w:numPr>
              <w:ind w:left="179" w:hanging="179"/>
              <w:jc w:val="left"/>
              <w:rPr>
                <w:sz w:val="22"/>
                <w:szCs w:val="22"/>
              </w:rPr>
            </w:pPr>
            <w:r w:rsidRPr="00A45D29">
              <w:rPr>
                <w:sz w:val="22"/>
                <w:szCs w:val="22"/>
              </w:rPr>
              <w:t>Ongoing assessment of existing and new risks;</w:t>
            </w:r>
          </w:p>
          <w:p w:rsidR="00AC4DC2" w:rsidRPr="00A45D29" w:rsidRDefault="00AC4DC2" w:rsidP="004901C3">
            <w:pPr>
              <w:pStyle w:val="ListParagraph"/>
              <w:numPr>
                <w:ilvl w:val="0"/>
                <w:numId w:val="11"/>
              </w:numPr>
              <w:ind w:left="179" w:hanging="179"/>
              <w:jc w:val="left"/>
              <w:rPr>
                <w:sz w:val="22"/>
                <w:szCs w:val="22"/>
              </w:rPr>
            </w:pPr>
            <w:r w:rsidRPr="00A45D29">
              <w:rPr>
                <w:sz w:val="22"/>
                <w:szCs w:val="22"/>
              </w:rPr>
              <w:t>Improved horizon scanning;</w:t>
            </w:r>
          </w:p>
          <w:p w:rsidR="00AC4DC2" w:rsidRPr="00A45D29" w:rsidRDefault="00AC4DC2" w:rsidP="004901C3">
            <w:pPr>
              <w:pStyle w:val="ListParagraph"/>
              <w:numPr>
                <w:ilvl w:val="0"/>
                <w:numId w:val="11"/>
              </w:numPr>
              <w:ind w:left="179" w:hanging="179"/>
              <w:jc w:val="left"/>
              <w:rPr>
                <w:sz w:val="22"/>
                <w:szCs w:val="22"/>
              </w:rPr>
            </w:pPr>
            <w:r w:rsidRPr="00A45D29">
              <w:rPr>
                <w:sz w:val="22"/>
                <w:szCs w:val="22"/>
              </w:rPr>
              <w:t>Linking of risk register to compliance programme;</w:t>
            </w:r>
          </w:p>
          <w:p w:rsidR="00AC4DC2" w:rsidRPr="00A45D29" w:rsidRDefault="00AC4DC2" w:rsidP="004901C3">
            <w:pPr>
              <w:pStyle w:val="ListParagraph"/>
              <w:numPr>
                <w:ilvl w:val="0"/>
                <w:numId w:val="11"/>
              </w:numPr>
              <w:ind w:left="179" w:hanging="179"/>
              <w:jc w:val="left"/>
              <w:rPr>
                <w:sz w:val="22"/>
                <w:szCs w:val="22"/>
              </w:rPr>
            </w:pPr>
            <w:r w:rsidRPr="00A45D29">
              <w:rPr>
                <w:sz w:val="22"/>
                <w:szCs w:val="22"/>
              </w:rPr>
              <w:t>Development of trend analysis.</w:t>
            </w:r>
          </w:p>
        </w:tc>
        <w:tc>
          <w:tcPr>
            <w:tcW w:w="1250" w:type="pct"/>
          </w:tcPr>
          <w:p w:rsidR="00AC4DC2" w:rsidRPr="00A45D29" w:rsidRDefault="00AC4DC2" w:rsidP="004901C3">
            <w:pPr>
              <w:pStyle w:val="ListParagraph"/>
              <w:numPr>
                <w:ilvl w:val="0"/>
                <w:numId w:val="11"/>
              </w:numPr>
              <w:ind w:left="179" w:hanging="179"/>
              <w:jc w:val="left"/>
              <w:rPr>
                <w:sz w:val="22"/>
                <w:szCs w:val="22"/>
              </w:rPr>
            </w:pPr>
            <w:r w:rsidRPr="00A45D29">
              <w:rPr>
                <w:sz w:val="22"/>
                <w:szCs w:val="22"/>
              </w:rPr>
              <w:t>Ongoing identification and updating of risk register;</w:t>
            </w:r>
          </w:p>
          <w:p w:rsidR="00AC4DC2" w:rsidRPr="00A45D29" w:rsidRDefault="00AC4DC2" w:rsidP="004901C3">
            <w:pPr>
              <w:pStyle w:val="ListParagraph"/>
              <w:numPr>
                <w:ilvl w:val="0"/>
                <w:numId w:val="11"/>
              </w:numPr>
              <w:ind w:left="179" w:hanging="179"/>
              <w:jc w:val="left"/>
              <w:rPr>
                <w:sz w:val="22"/>
                <w:szCs w:val="22"/>
              </w:rPr>
            </w:pPr>
            <w:r w:rsidRPr="00A45D29">
              <w:rPr>
                <w:sz w:val="22"/>
                <w:szCs w:val="22"/>
              </w:rPr>
              <w:t>Regular strategic planning and longer term perspective;</w:t>
            </w:r>
          </w:p>
          <w:p w:rsidR="00AC4DC2" w:rsidRPr="00A45D29" w:rsidRDefault="00AC4DC2" w:rsidP="004901C3">
            <w:pPr>
              <w:pStyle w:val="ListParagraph"/>
              <w:numPr>
                <w:ilvl w:val="0"/>
                <w:numId w:val="11"/>
              </w:numPr>
              <w:ind w:left="179" w:hanging="179"/>
              <w:jc w:val="left"/>
              <w:rPr>
                <w:sz w:val="22"/>
                <w:szCs w:val="22"/>
              </w:rPr>
            </w:pPr>
            <w:r w:rsidRPr="00A45D29">
              <w:rPr>
                <w:sz w:val="22"/>
                <w:szCs w:val="22"/>
              </w:rPr>
              <w:t>Transparency of risks and monitoring;</w:t>
            </w:r>
          </w:p>
          <w:p w:rsidR="00AC4DC2" w:rsidRPr="00A45D29" w:rsidRDefault="00AC4DC2" w:rsidP="004901C3">
            <w:pPr>
              <w:pStyle w:val="ListParagraph"/>
              <w:numPr>
                <w:ilvl w:val="0"/>
                <w:numId w:val="11"/>
              </w:numPr>
              <w:ind w:left="179" w:hanging="179"/>
              <w:jc w:val="left"/>
              <w:rPr>
                <w:sz w:val="22"/>
                <w:szCs w:val="22"/>
              </w:rPr>
            </w:pPr>
            <w:r w:rsidRPr="00A45D29">
              <w:rPr>
                <w:sz w:val="22"/>
                <w:szCs w:val="22"/>
              </w:rPr>
              <w:t>Enhanced reporting of risk reporting and internal control assurance.</w:t>
            </w:r>
          </w:p>
        </w:tc>
        <w:tc>
          <w:tcPr>
            <w:tcW w:w="1250" w:type="pct"/>
          </w:tcPr>
          <w:p w:rsidR="00AC4DC2" w:rsidRPr="00A45D29" w:rsidRDefault="00AC4DC2" w:rsidP="004901C3">
            <w:pPr>
              <w:jc w:val="left"/>
              <w:rPr>
                <w:sz w:val="22"/>
                <w:szCs w:val="22"/>
              </w:rPr>
            </w:pPr>
            <w:r w:rsidRPr="00A45D29">
              <w:rPr>
                <w:sz w:val="22"/>
                <w:szCs w:val="22"/>
              </w:rPr>
              <w:t>Risk approach to be enhanced on an ongoing basis throughout 2015/16</w:t>
            </w:r>
          </w:p>
        </w:tc>
      </w:tr>
    </w:tbl>
    <w:p w:rsidR="001411AE" w:rsidRDefault="001411AE" w:rsidP="00D70E2F">
      <w:pPr>
        <w:rPr>
          <w:b/>
          <w:noProof/>
          <w:sz w:val="32"/>
          <w:szCs w:val="32"/>
          <w:lang w:eastAsia="en-GB"/>
        </w:rPr>
        <w:sectPr w:rsidR="001411AE" w:rsidSect="0055592C">
          <w:pgSz w:w="11900" w:h="16840" w:code="9"/>
          <w:pgMar w:top="1440" w:right="709" w:bottom="851" w:left="1440" w:header="567" w:footer="116" w:gutter="0"/>
          <w:cols w:space="292"/>
          <w:docGrid w:linePitch="326"/>
        </w:sectPr>
      </w:pPr>
    </w:p>
    <w:p w:rsidR="00A96DF5" w:rsidRDefault="00444DDF" w:rsidP="00D70E2F">
      <w:pPr>
        <w:rPr>
          <w:b/>
          <w:noProof/>
          <w:sz w:val="32"/>
          <w:szCs w:val="32"/>
          <w:lang w:eastAsia="en-GB"/>
        </w:rPr>
      </w:pPr>
      <w:r w:rsidRPr="00444DDF">
        <w:rPr>
          <w:b/>
          <w:noProof/>
          <w:sz w:val="32"/>
          <w:szCs w:val="32"/>
          <w:lang w:eastAsia="en-GB"/>
        </w:rPr>
        <w:lastRenderedPageBreak/>
        <w:t>Asset and Liability Management</w:t>
      </w:r>
    </w:p>
    <w:p w:rsidR="007D705A" w:rsidRPr="00486913" w:rsidRDefault="007D705A" w:rsidP="00D70E2F">
      <w:pPr>
        <w:rPr>
          <w:sz w:val="28"/>
          <w:szCs w:val="28"/>
          <w:lang w:eastAsia="en-GB"/>
        </w:rPr>
      </w:pPr>
      <w:r w:rsidRPr="00486913">
        <w:rPr>
          <w:b/>
          <w:noProof/>
          <w:sz w:val="28"/>
          <w:szCs w:val="28"/>
          <w:lang w:eastAsia="en-GB"/>
        </w:rPr>
        <w:t>Lead officer – Mike Jensen</w:t>
      </w:r>
      <w:r w:rsidR="004901C3" w:rsidRPr="00486913">
        <w:rPr>
          <w:b/>
          <w:noProof/>
          <w:sz w:val="28"/>
          <w:szCs w:val="28"/>
          <w:lang w:eastAsia="en-GB"/>
        </w:rPr>
        <w:t xml:space="preserve"> Chief Investment Officer</w:t>
      </w:r>
    </w:p>
    <w:p w:rsidR="00F13E39" w:rsidRDefault="00C42667" w:rsidP="004901C3">
      <w:pPr>
        <w:rPr>
          <w:lang w:eastAsia="en-GB"/>
        </w:rPr>
      </w:pPr>
      <w:r>
        <w:rPr>
          <w:lang w:eastAsia="en-GB"/>
        </w:rPr>
        <w:t xml:space="preserve">Asset </w:t>
      </w:r>
      <w:r w:rsidR="004901C3">
        <w:rPr>
          <w:lang w:eastAsia="en-GB"/>
        </w:rPr>
        <w:t>management</w:t>
      </w:r>
      <w:r>
        <w:rPr>
          <w:lang w:eastAsia="en-GB"/>
        </w:rPr>
        <w:t xml:space="preserve"> </w:t>
      </w:r>
      <w:r w:rsidR="00A96DF5">
        <w:rPr>
          <w:lang w:eastAsia="en-GB"/>
        </w:rPr>
        <w:t>is the process of achieving returns on the contributions to the Fund made by members and employers so ensuring that the money required to pay pensions is available when required.</w:t>
      </w:r>
      <w:r w:rsidR="004901C3">
        <w:rPr>
          <w:lang w:eastAsia="en-GB"/>
        </w:rPr>
        <w:t xml:space="preserve"> Liability management is the process by which the impact of changes in the value of the obligation to pay future pensions on the Fund is mitigated.</w:t>
      </w:r>
    </w:p>
    <w:p w:rsidR="00A96DF5" w:rsidRDefault="00A96DF5" w:rsidP="00D70E2F">
      <w:pPr>
        <w:rPr>
          <w:lang w:eastAsia="en-GB"/>
        </w:rPr>
      </w:pPr>
      <w:r>
        <w:rPr>
          <w:lang w:eastAsia="en-GB"/>
        </w:rPr>
        <w:t>Our objectives in this area are:</w:t>
      </w:r>
    </w:p>
    <w:p w:rsidR="00A96DF5" w:rsidRPr="008C7F7C" w:rsidRDefault="00A96DF5" w:rsidP="00195504">
      <w:pPr>
        <w:pStyle w:val="ListParagraph"/>
        <w:numPr>
          <w:ilvl w:val="0"/>
          <w:numId w:val="6"/>
        </w:numPr>
        <w:autoSpaceDE/>
        <w:autoSpaceDN/>
        <w:adjustRightInd/>
        <w:spacing w:before="240" w:after="240"/>
        <w:contextualSpacing w:val="0"/>
        <w:jc w:val="left"/>
      </w:pPr>
      <w:r w:rsidRPr="008C7F7C">
        <w:rPr>
          <w:rFonts w:cs="Arial"/>
        </w:rPr>
        <w:t>To ensure that resources are available to meet the Fund's liabilities through achieving investment performance at least in line with actuarial assumption</w:t>
      </w:r>
      <w:r>
        <w:rPr>
          <w:rFonts w:cs="Arial"/>
        </w:rPr>
        <w:t>s</w:t>
      </w:r>
      <w:r w:rsidRPr="008C7F7C">
        <w:rPr>
          <w:rFonts w:cs="Arial"/>
        </w:rPr>
        <w:t>.</w:t>
      </w:r>
    </w:p>
    <w:p w:rsidR="00A96DF5" w:rsidRPr="00F13E39" w:rsidRDefault="00A96DF5" w:rsidP="00195504">
      <w:pPr>
        <w:pStyle w:val="ListParagraph"/>
        <w:numPr>
          <w:ilvl w:val="0"/>
          <w:numId w:val="6"/>
        </w:numPr>
        <w:autoSpaceDE/>
        <w:autoSpaceDN/>
        <w:adjustRightInd/>
        <w:spacing w:before="240" w:after="240"/>
        <w:contextualSpacing w:val="0"/>
        <w:jc w:val="left"/>
      </w:pPr>
      <w:r w:rsidRPr="008C7F7C">
        <w:rPr>
          <w:rFonts w:cs="Arial"/>
        </w:rPr>
        <w:t>To achieve full funding (i.e. no funding deficit) over a period no longer than the current recovery period.</w:t>
      </w:r>
    </w:p>
    <w:p w:rsidR="00F13E39" w:rsidRDefault="00F13E39" w:rsidP="00F13E39">
      <w:pPr>
        <w:numPr>
          <w:ilvl w:val="0"/>
          <w:numId w:val="6"/>
        </w:numPr>
        <w:rPr>
          <w:lang w:eastAsia="en-GB"/>
        </w:rPr>
      </w:pPr>
      <w:r>
        <w:rPr>
          <w:lang w:eastAsia="en-GB"/>
        </w:rPr>
        <w:t>To achieve, as far as possible, stable employer contribution rates;</w:t>
      </w:r>
    </w:p>
    <w:p w:rsidR="00F13E39" w:rsidRDefault="00F13E39" w:rsidP="00F13E39">
      <w:pPr>
        <w:numPr>
          <w:ilvl w:val="0"/>
          <w:numId w:val="6"/>
        </w:numPr>
        <w:rPr>
          <w:lang w:eastAsia="en-GB"/>
        </w:rPr>
      </w:pPr>
      <w:r>
        <w:rPr>
          <w:lang w:eastAsia="en-GB"/>
        </w:rPr>
        <w:t>To manage employers' liabilities effectively having due regard to the strength of each employer's covenant by the consideration of employer specific funding objectives.</w:t>
      </w:r>
    </w:p>
    <w:p w:rsidR="00F13E39" w:rsidRDefault="00F13E39" w:rsidP="00F13E39">
      <w:pPr>
        <w:numPr>
          <w:ilvl w:val="0"/>
          <w:numId w:val="6"/>
        </w:numPr>
        <w:rPr>
          <w:lang w:eastAsia="en-GB"/>
        </w:rPr>
      </w:pPr>
      <w:r>
        <w:rPr>
          <w:lang w:eastAsia="en-GB"/>
        </w:rPr>
        <w:t>To maintain liquidity to meet projected net cash flow outgoings.</w:t>
      </w:r>
    </w:p>
    <w:p w:rsidR="00F13E39" w:rsidRDefault="00F13E39" w:rsidP="00F13E39">
      <w:pPr>
        <w:numPr>
          <w:ilvl w:val="0"/>
          <w:numId w:val="6"/>
        </w:numPr>
        <w:rPr>
          <w:lang w:eastAsia="en-GB"/>
        </w:rPr>
      </w:pPr>
      <w:r>
        <w:rPr>
          <w:lang w:eastAsia="en-GB"/>
        </w:rPr>
        <w:t>To minimise irrecoverable debt on the termination of employer participation.</w:t>
      </w:r>
    </w:p>
    <w:p w:rsidR="00F13E39" w:rsidRPr="0062582A" w:rsidRDefault="00EA32FC" w:rsidP="00195504">
      <w:pPr>
        <w:pStyle w:val="ListParagraph"/>
        <w:numPr>
          <w:ilvl w:val="0"/>
          <w:numId w:val="6"/>
        </w:numPr>
        <w:autoSpaceDE/>
        <w:autoSpaceDN/>
        <w:adjustRightInd/>
        <w:spacing w:before="240" w:after="240"/>
        <w:contextualSpacing w:val="0"/>
        <w:jc w:val="left"/>
      </w:pPr>
      <w:r>
        <w:t>To be a good asset owner.</w:t>
      </w:r>
    </w:p>
    <w:p w:rsidR="005C076A" w:rsidRDefault="005C076A" w:rsidP="005C076A">
      <w:pPr>
        <w:rPr>
          <w:lang w:eastAsia="en-GB"/>
        </w:rPr>
      </w:pPr>
      <w:r>
        <w:rPr>
          <w:lang w:eastAsia="en-GB"/>
        </w:rPr>
        <w:t>Over the next three years we are aiming to undertake the following actions in this area:</w:t>
      </w:r>
    </w:p>
    <w:p w:rsidR="004901C3" w:rsidRDefault="004901C3" w:rsidP="005C076A">
      <w:pPr>
        <w:rPr>
          <w:lang w:eastAsia="en-GB"/>
        </w:rPr>
      </w:pPr>
    </w:p>
    <w:tbl>
      <w:tblPr>
        <w:tblStyle w:val="TableGrid"/>
        <w:tblW w:w="0" w:type="auto"/>
        <w:tblLook w:val="04A0" w:firstRow="1" w:lastRow="0" w:firstColumn="1" w:lastColumn="0" w:noHBand="0" w:noVBand="1"/>
      </w:tblPr>
      <w:tblGrid>
        <w:gridCol w:w="2264"/>
        <w:gridCol w:w="2251"/>
        <w:gridCol w:w="2257"/>
        <w:gridCol w:w="2238"/>
      </w:tblGrid>
      <w:tr w:rsidR="00486913" w:rsidTr="00FA4A0A">
        <w:tc>
          <w:tcPr>
            <w:tcW w:w="2264" w:type="dxa"/>
          </w:tcPr>
          <w:p w:rsidR="004901C3" w:rsidRPr="00A45D29" w:rsidRDefault="004901C3" w:rsidP="004901C3">
            <w:pPr>
              <w:rPr>
                <w:b/>
                <w:sz w:val="22"/>
                <w:szCs w:val="22"/>
              </w:rPr>
            </w:pPr>
            <w:r w:rsidRPr="00A45D29">
              <w:rPr>
                <w:b/>
                <w:sz w:val="22"/>
                <w:szCs w:val="22"/>
              </w:rPr>
              <w:t>Action</w:t>
            </w:r>
          </w:p>
        </w:tc>
        <w:tc>
          <w:tcPr>
            <w:tcW w:w="2251" w:type="dxa"/>
          </w:tcPr>
          <w:p w:rsidR="004901C3" w:rsidRPr="00A45D29" w:rsidRDefault="004901C3" w:rsidP="004901C3">
            <w:pPr>
              <w:rPr>
                <w:b/>
                <w:sz w:val="22"/>
                <w:szCs w:val="22"/>
              </w:rPr>
            </w:pPr>
            <w:r w:rsidRPr="00A45D29">
              <w:rPr>
                <w:b/>
                <w:sz w:val="22"/>
                <w:szCs w:val="22"/>
              </w:rPr>
              <w:t>How will this be achieved?</w:t>
            </w:r>
          </w:p>
        </w:tc>
        <w:tc>
          <w:tcPr>
            <w:tcW w:w="2257" w:type="dxa"/>
          </w:tcPr>
          <w:p w:rsidR="004901C3" w:rsidRPr="00A45D29" w:rsidRDefault="004901C3" w:rsidP="004901C3">
            <w:pPr>
              <w:rPr>
                <w:b/>
                <w:sz w:val="22"/>
                <w:szCs w:val="22"/>
              </w:rPr>
            </w:pPr>
            <w:r w:rsidRPr="00A45D29">
              <w:rPr>
                <w:b/>
                <w:sz w:val="22"/>
                <w:szCs w:val="22"/>
              </w:rPr>
              <w:t>How will success be measured?</w:t>
            </w:r>
          </w:p>
        </w:tc>
        <w:tc>
          <w:tcPr>
            <w:tcW w:w="2238" w:type="dxa"/>
          </w:tcPr>
          <w:p w:rsidR="004901C3" w:rsidRPr="00A45D29" w:rsidRDefault="004901C3" w:rsidP="004901C3">
            <w:pPr>
              <w:rPr>
                <w:b/>
                <w:sz w:val="22"/>
                <w:szCs w:val="22"/>
              </w:rPr>
            </w:pPr>
            <w:r w:rsidRPr="00A45D29">
              <w:rPr>
                <w:b/>
                <w:sz w:val="22"/>
                <w:szCs w:val="22"/>
              </w:rPr>
              <w:t>Timescale</w:t>
            </w:r>
          </w:p>
        </w:tc>
      </w:tr>
      <w:tr w:rsidR="00486913" w:rsidTr="00FA4A0A">
        <w:tc>
          <w:tcPr>
            <w:tcW w:w="2264" w:type="dxa"/>
          </w:tcPr>
          <w:p w:rsidR="004901C3" w:rsidRDefault="00486913" w:rsidP="004901C3">
            <w:pPr>
              <w:jc w:val="left"/>
              <w:rPr>
                <w:lang w:eastAsia="en-GB"/>
              </w:rPr>
            </w:pPr>
            <w:r>
              <w:rPr>
                <w:lang w:eastAsia="en-GB"/>
              </w:rPr>
              <w:t xml:space="preserve">Implement the recommendations of the Member Working Group on </w:t>
            </w:r>
            <w:r w:rsidR="004901C3">
              <w:rPr>
                <w:lang w:eastAsia="en-GB"/>
              </w:rPr>
              <w:t>Responsible Investment</w:t>
            </w:r>
          </w:p>
        </w:tc>
        <w:tc>
          <w:tcPr>
            <w:tcW w:w="2251" w:type="dxa"/>
          </w:tcPr>
          <w:p w:rsidR="004901C3" w:rsidRDefault="004901C3" w:rsidP="004901C3">
            <w:pPr>
              <w:pStyle w:val="ListParagraph"/>
              <w:numPr>
                <w:ilvl w:val="0"/>
                <w:numId w:val="12"/>
              </w:numPr>
              <w:jc w:val="left"/>
              <w:rPr>
                <w:lang w:eastAsia="en-GB"/>
              </w:rPr>
            </w:pPr>
            <w:r>
              <w:rPr>
                <w:lang w:eastAsia="en-GB"/>
              </w:rPr>
              <w:t>Adherence to the UN Principles of Responsible Investment</w:t>
            </w:r>
          </w:p>
          <w:p w:rsidR="00486913" w:rsidRDefault="004901C3" w:rsidP="004901C3">
            <w:pPr>
              <w:pStyle w:val="ListParagraph"/>
              <w:numPr>
                <w:ilvl w:val="0"/>
                <w:numId w:val="12"/>
              </w:numPr>
              <w:jc w:val="left"/>
              <w:rPr>
                <w:lang w:eastAsia="en-GB"/>
              </w:rPr>
            </w:pPr>
            <w:r>
              <w:rPr>
                <w:lang w:eastAsia="en-GB"/>
              </w:rPr>
              <w:t>Measurement of the quality of commitment to</w:t>
            </w:r>
            <w:r w:rsidR="00486913">
              <w:rPr>
                <w:lang w:eastAsia="en-GB"/>
              </w:rPr>
              <w:t xml:space="preserve"> good governance of invested companies against a benchmark</w:t>
            </w:r>
          </w:p>
          <w:p w:rsidR="00486913" w:rsidRDefault="00486913" w:rsidP="004901C3">
            <w:pPr>
              <w:pStyle w:val="ListParagraph"/>
              <w:numPr>
                <w:ilvl w:val="0"/>
                <w:numId w:val="12"/>
              </w:numPr>
              <w:jc w:val="left"/>
              <w:rPr>
                <w:lang w:eastAsia="en-GB"/>
              </w:rPr>
            </w:pPr>
            <w:r>
              <w:rPr>
                <w:lang w:eastAsia="en-GB"/>
              </w:rPr>
              <w:t>Measurement of the environmental impact of the Fund's investments.</w:t>
            </w:r>
          </w:p>
          <w:p w:rsidR="004901C3" w:rsidRDefault="00486913" w:rsidP="004901C3">
            <w:pPr>
              <w:pStyle w:val="ListParagraph"/>
              <w:numPr>
                <w:ilvl w:val="0"/>
                <w:numId w:val="12"/>
              </w:numPr>
              <w:jc w:val="left"/>
              <w:rPr>
                <w:lang w:eastAsia="en-GB"/>
              </w:rPr>
            </w:pPr>
            <w:r>
              <w:rPr>
                <w:lang w:eastAsia="en-GB"/>
              </w:rPr>
              <w:t xml:space="preserve">Actively engage with the Local Authority Pension Fund Forum to </w:t>
            </w:r>
            <w:proofErr w:type="gramStart"/>
            <w:r>
              <w:rPr>
                <w:lang w:eastAsia="en-GB"/>
              </w:rPr>
              <w:t xml:space="preserve">further </w:t>
            </w:r>
            <w:r w:rsidR="004901C3">
              <w:rPr>
                <w:lang w:eastAsia="en-GB"/>
              </w:rPr>
              <w:t xml:space="preserve"> </w:t>
            </w:r>
            <w:r w:rsidR="005359E2">
              <w:rPr>
                <w:lang w:eastAsia="en-GB"/>
              </w:rPr>
              <w:t>the</w:t>
            </w:r>
            <w:proofErr w:type="gramEnd"/>
            <w:r w:rsidR="005359E2">
              <w:rPr>
                <w:lang w:eastAsia="en-GB"/>
              </w:rPr>
              <w:t xml:space="preserve"> Fund's Responsible Investment Objectives.</w:t>
            </w:r>
          </w:p>
        </w:tc>
        <w:tc>
          <w:tcPr>
            <w:tcW w:w="2257" w:type="dxa"/>
          </w:tcPr>
          <w:p w:rsidR="004901C3" w:rsidRDefault="00486913" w:rsidP="00486913">
            <w:pPr>
              <w:pStyle w:val="ListParagraph"/>
              <w:numPr>
                <w:ilvl w:val="0"/>
                <w:numId w:val="12"/>
              </w:numPr>
              <w:jc w:val="left"/>
              <w:rPr>
                <w:lang w:eastAsia="en-GB"/>
              </w:rPr>
            </w:pPr>
            <w:r>
              <w:rPr>
                <w:lang w:eastAsia="en-GB"/>
              </w:rPr>
              <w:t>Sign off by the UNPRI organisation</w:t>
            </w:r>
          </w:p>
          <w:p w:rsidR="00486913" w:rsidRDefault="00486913" w:rsidP="00486913">
            <w:pPr>
              <w:jc w:val="left"/>
              <w:rPr>
                <w:lang w:eastAsia="en-GB"/>
              </w:rPr>
            </w:pPr>
          </w:p>
          <w:p w:rsidR="00486913" w:rsidRDefault="00486913" w:rsidP="00486913">
            <w:pPr>
              <w:pStyle w:val="ListParagraph"/>
              <w:numPr>
                <w:ilvl w:val="0"/>
                <w:numId w:val="12"/>
              </w:numPr>
              <w:jc w:val="left"/>
              <w:rPr>
                <w:lang w:eastAsia="en-GB"/>
              </w:rPr>
            </w:pPr>
            <w:r>
              <w:rPr>
                <w:lang w:eastAsia="en-GB"/>
              </w:rPr>
              <w:t>Reporting of the benchmarking results to PFC and Fund stakeholders</w:t>
            </w:r>
          </w:p>
          <w:p w:rsidR="00486913" w:rsidRDefault="00486913" w:rsidP="00486913">
            <w:pPr>
              <w:pStyle w:val="ListParagraph"/>
              <w:rPr>
                <w:lang w:eastAsia="en-GB"/>
              </w:rPr>
            </w:pPr>
          </w:p>
          <w:p w:rsidR="00486913" w:rsidRDefault="00486913" w:rsidP="00486913">
            <w:pPr>
              <w:pStyle w:val="ListParagraph"/>
              <w:ind w:left="360"/>
              <w:jc w:val="left"/>
              <w:rPr>
                <w:lang w:eastAsia="en-GB"/>
              </w:rPr>
            </w:pPr>
          </w:p>
          <w:p w:rsidR="00486913" w:rsidRDefault="00486913" w:rsidP="00486913">
            <w:pPr>
              <w:pStyle w:val="ListParagraph"/>
              <w:rPr>
                <w:lang w:eastAsia="en-GB"/>
              </w:rPr>
            </w:pPr>
          </w:p>
          <w:p w:rsidR="00486913" w:rsidRDefault="00486913" w:rsidP="00486913">
            <w:pPr>
              <w:pStyle w:val="ListParagraph"/>
              <w:numPr>
                <w:ilvl w:val="0"/>
                <w:numId w:val="12"/>
              </w:numPr>
              <w:jc w:val="left"/>
              <w:rPr>
                <w:lang w:eastAsia="en-GB"/>
              </w:rPr>
            </w:pPr>
            <w:r>
              <w:rPr>
                <w:lang w:eastAsia="en-GB"/>
              </w:rPr>
              <w:t>Reporting of the benchmarking results to PFC and Fund stakeholders</w:t>
            </w:r>
          </w:p>
          <w:p w:rsidR="00486913" w:rsidRDefault="00486913" w:rsidP="00486913">
            <w:pPr>
              <w:pStyle w:val="ListParagraph"/>
              <w:numPr>
                <w:ilvl w:val="0"/>
                <w:numId w:val="12"/>
              </w:numPr>
              <w:jc w:val="left"/>
              <w:rPr>
                <w:lang w:eastAsia="en-GB"/>
              </w:rPr>
            </w:pPr>
            <w:r>
              <w:rPr>
                <w:lang w:eastAsia="en-GB"/>
              </w:rPr>
              <w:t>Member and officer attendance at LAPFF meetings in order to influence the Forum's agenda</w:t>
            </w:r>
          </w:p>
        </w:tc>
        <w:tc>
          <w:tcPr>
            <w:tcW w:w="2238" w:type="dxa"/>
          </w:tcPr>
          <w:p w:rsidR="004901C3" w:rsidRDefault="00486913" w:rsidP="00486913">
            <w:pPr>
              <w:pStyle w:val="ListParagraph"/>
              <w:numPr>
                <w:ilvl w:val="0"/>
                <w:numId w:val="12"/>
              </w:numPr>
              <w:jc w:val="left"/>
              <w:rPr>
                <w:lang w:eastAsia="en-GB"/>
              </w:rPr>
            </w:pPr>
            <w:r>
              <w:rPr>
                <w:lang w:eastAsia="en-GB"/>
              </w:rPr>
              <w:t>Initially by May 2015 and annually thereafter</w:t>
            </w:r>
          </w:p>
          <w:p w:rsidR="00486913" w:rsidRDefault="00486913" w:rsidP="00486913">
            <w:pPr>
              <w:pStyle w:val="ListParagraph"/>
              <w:ind w:left="360"/>
              <w:jc w:val="left"/>
              <w:rPr>
                <w:lang w:eastAsia="en-GB"/>
              </w:rPr>
            </w:pPr>
          </w:p>
          <w:p w:rsidR="00486913" w:rsidRDefault="00486913" w:rsidP="00486913">
            <w:pPr>
              <w:pStyle w:val="ListParagraph"/>
              <w:numPr>
                <w:ilvl w:val="0"/>
                <w:numId w:val="12"/>
              </w:numPr>
              <w:jc w:val="left"/>
              <w:rPr>
                <w:lang w:eastAsia="en-GB"/>
              </w:rPr>
            </w:pPr>
            <w:r>
              <w:rPr>
                <w:lang w:eastAsia="en-GB"/>
              </w:rPr>
              <w:t>September 2015 as part of the Fund's Annual Report, then annually</w:t>
            </w:r>
          </w:p>
          <w:p w:rsidR="00486913" w:rsidRDefault="00486913" w:rsidP="00486913">
            <w:pPr>
              <w:pStyle w:val="ListParagraph"/>
              <w:rPr>
                <w:lang w:eastAsia="en-GB"/>
              </w:rPr>
            </w:pPr>
          </w:p>
          <w:p w:rsidR="00486913" w:rsidRDefault="00486913" w:rsidP="00486913">
            <w:pPr>
              <w:pStyle w:val="ListParagraph"/>
              <w:ind w:left="360"/>
              <w:jc w:val="left"/>
              <w:rPr>
                <w:lang w:eastAsia="en-GB"/>
              </w:rPr>
            </w:pPr>
          </w:p>
          <w:p w:rsidR="00486913" w:rsidRDefault="00486913" w:rsidP="00486913">
            <w:pPr>
              <w:pStyle w:val="ListParagraph"/>
              <w:rPr>
                <w:lang w:eastAsia="en-GB"/>
              </w:rPr>
            </w:pPr>
          </w:p>
          <w:p w:rsidR="00486913" w:rsidRDefault="00486913" w:rsidP="00486913">
            <w:pPr>
              <w:pStyle w:val="ListParagraph"/>
              <w:numPr>
                <w:ilvl w:val="0"/>
                <w:numId w:val="12"/>
              </w:numPr>
              <w:jc w:val="left"/>
              <w:rPr>
                <w:lang w:eastAsia="en-GB"/>
              </w:rPr>
            </w:pPr>
            <w:r>
              <w:rPr>
                <w:lang w:eastAsia="en-GB"/>
              </w:rPr>
              <w:t>September 2015 as part of the Fund's Annual Report, then annually</w:t>
            </w:r>
          </w:p>
          <w:p w:rsidR="00486913" w:rsidRDefault="00486913" w:rsidP="00486913">
            <w:pPr>
              <w:pStyle w:val="ListParagraph"/>
              <w:ind w:left="360"/>
              <w:jc w:val="left"/>
              <w:rPr>
                <w:lang w:eastAsia="en-GB"/>
              </w:rPr>
            </w:pPr>
          </w:p>
          <w:p w:rsidR="00486913" w:rsidRDefault="00486913" w:rsidP="00486913">
            <w:pPr>
              <w:jc w:val="left"/>
              <w:rPr>
                <w:lang w:eastAsia="en-GB"/>
              </w:rPr>
            </w:pPr>
          </w:p>
          <w:p w:rsidR="00797860" w:rsidRDefault="00797860" w:rsidP="00797860">
            <w:pPr>
              <w:pStyle w:val="ListParagraph"/>
              <w:ind w:left="360"/>
              <w:jc w:val="left"/>
              <w:rPr>
                <w:lang w:eastAsia="en-GB"/>
              </w:rPr>
            </w:pPr>
          </w:p>
          <w:p w:rsidR="00486913" w:rsidRDefault="00797860" w:rsidP="00486913">
            <w:pPr>
              <w:pStyle w:val="ListParagraph"/>
              <w:numPr>
                <w:ilvl w:val="0"/>
                <w:numId w:val="12"/>
              </w:numPr>
              <w:jc w:val="left"/>
              <w:rPr>
                <w:lang w:eastAsia="en-GB"/>
              </w:rPr>
            </w:pPr>
            <w:r>
              <w:rPr>
                <w:lang w:eastAsia="en-GB"/>
              </w:rPr>
              <w:t>Regular attendance from June 2015.</w:t>
            </w:r>
          </w:p>
          <w:p w:rsidR="00486913" w:rsidRDefault="00486913" w:rsidP="00486913">
            <w:pPr>
              <w:pStyle w:val="ListParagraph"/>
              <w:ind w:left="360"/>
              <w:jc w:val="left"/>
              <w:rPr>
                <w:lang w:eastAsia="en-GB"/>
              </w:rPr>
            </w:pPr>
          </w:p>
          <w:p w:rsidR="00486913" w:rsidRDefault="00486913" w:rsidP="00486913">
            <w:pPr>
              <w:pStyle w:val="ListParagraph"/>
              <w:rPr>
                <w:lang w:eastAsia="en-GB"/>
              </w:rPr>
            </w:pPr>
          </w:p>
          <w:p w:rsidR="00486913" w:rsidRDefault="00486913" w:rsidP="00486913">
            <w:pPr>
              <w:jc w:val="left"/>
              <w:rPr>
                <w:lang w:eastAsia="en-GB"/>
              </w:rPr>
            </w:pPr>
          </w:p>
        </w:tc>
      </w:tr>
      <w:tr w:rsidR="00486913" w:rsidTr="00FA4A0A">
        <w:tc>
          <w:tcPr>
            <w:tcW w:w="2264" w:type="dxa"/>
          </w:tcPr>
          <w:p w:rsidR="004901C3" w:rsidRDefault="001823B9" w:rsidP="0007727C">
            <w:pPr>
              <w:jc w:val="left"/>
              <w:rPr>
                <w:lang w:eastAsia="en-GB"/>
              </w:rPr>
            </w:pPr>
            <w:r>
              <w:rPr>
                <w:lang w:eastAsia="en-GB"/>
              </w:rPr>
              <w:lastRenderedPageBreak/>
              <w:t>Develop a more structured approach to assessing the risks to the Fund</w:t>
            </w:r>
            <w:r w:rsidR="0007727C">
              <w:rPr>
                <w:lang w:eastAsia="en-GB"/>
              </w:rPr>
              <w:t xml:space="preserve"> posed by individual employers and identify appropriate asset allocations to reduce the risk to the Fund.</w:t>
            </w:r>
          </w:p>
        </w:tc>
        <w:tc>
          <w:tcPr>
            <w:tcW w:w="2251" w:type="dxa"/>
          </w:tcPr>
          <w:p w:rsidR="004901C3" w:rsidRDefault="0007727C" w:rsidP="0007727C">
            <w:pPr>
              <w:pStyle w:val="ListParagraph"/>
              <w:numPr>
                <w:ilvl w:val="0"/>
                <w:numId w:val="13"/>
              </w:numPr>
              <w:jc w:val="left"/>
              <w:rPr>
                <w:lang w:eastAsia="en-GB"/>
              </w:rPr>
            </w:pPr>
            <w:r>
              <w:rPr>
                <w:lang w:eastAsia="en-GB"/>
              </w:rPr>
              <w:t>Undertake formal covenant reviews for each employer in the Fund.</w:t>
            </w:r>
          </w:p>
          <w:p w:rsidR="0007727C" w:rsidRDefault="0007727C" w:rsidP="0007727C">
            <w:pPr>
              <w:pStyle w:val="ListParagraph"/>
              <w:numPr>
                <w:ilvl w:val="0"/>
                <w:numId w:val="13"/>
              </w:numPr>
              <w:jc w:val="left"/>
              <w:rPr>
                <w:lang w:eastAsia="en-GB"/>
              </w:rPr>
            </w:pPr>
            <w:r>
              <w:rPr>
                <w:lang w:eastAsia="en-GB"/>
              </w:rPr>
              <w:t>Review and assess the potential risks from the results.</w:t>
            </w:r>
          </w:p>
          <w:p w:rsidR="0007727C" w:rsidRDefault="0007727C" w:rsidP="0007727C">
            <w:pPr>
              <w:pStyle w:val="ListParagraph"/>
              <w:numPr>
                <w:ilvl w:val="0"/>
                <w:numId w:val="13"/>
              </w:numPr>
              <w:jc w:val="left"/>
              <w:rPr>
                <w:lang w:eastAsia="en-GB"/>
              </w:rPr>
            </w:pPr>
            <w:r>
              <w:rPr>
                <w:lang w:eastAsia="en-GB"/>
              </w:rPr>
              <w:t xml:space="preserve">Identify appropriate asset allocations for different risk categories of employer to feed into 2016 post valuation Investment Strategy update. </w:t>
            </w:r>
          </w:p>
        </w:tc>
        <w:tc>
          <w:tcPr>
            <w:tcW w:w="2257" w:type="dxa"/>
          </w:tcPr>
          <w:p w:rsidR="004901C3" w:rsidRDefault="0007727C" w:rsidP="0007727C">
            <w:pPr>
              <w:pStyle w:val="ListParagraph"/>
              <w:numPr>
                <w:ilvl w:val="0"/>
                <w:numId w:val="13"/>
              </w:numPr>
              <w:jc w:val="left"/>
              <w:rPr>
                <w:lang w:eastAsia="en-GB"/>
              </w:rPr>
            </w:pPr>
            <w:r>
              <w:rPr>
                <w:lang w:eastAsia="en-GB"/>
              </w:rPr>
              <w:t>Stratification of the whole employer base according to the risk posed to the Fund.</w:t>
            </w:r>
          </w:p>
          <w:p w:rsidR="0007727C" w:rsidRDefault="0007727C" w:rsidP="0007727C">
            <w:pPr>
              <w:pStyle w:val="ListParagraph"/>
              <w:numPr>
                <w:ilvl w:val="0"/>
                <w:numId w:val="13"/>
              </w:numPr>
              <w:jc w:val="left"/>
              <w:rPr>
                <w:lang w:eastAsia="en-GB"/>
              </w:rPr>
            </w:pPr>
            <w:r>
              <w:rPr>
                <w:lang w:eastAsia="en-GB"/>
              </w:rPr>
              <w:t>Allocation of each strata of employer to a specific asset mix.</w:t>
            </w:r>
          </w:p>
        </w:tc>
        <w:tc>
          <w:tcPr>
            <w:tcW w:w="2238" w:type="dxa"/>
          </w:tcPr>
          <w:p w:rsidR="004901C3" w:rsidRDefault="0007727C" w:rsidP="0007727C">
            <w:pPr>
              <w:pStyle w:val="ListParagraph"/>
              <w:numPr>
                <w:ilvl w:val="0"/>
                <w:numId w:val="13"/>
              </w:numPr>
              <w:jc w:val="left"/>
              <w:rPr>
                <w:lang w:eastAsia="en-GB"/>
              </w:rPr>
            </w:pPr>
            <w:r>
              <w:rPr>
                <w:lang w:eastAsia="en-GB"/>
              </w:rPr>
              <w:t>Covenant reviews completed by May 2016.</w:t>
            </w:r>
          </w:p>
          <w:p w:rsidR="0007727C" w:rsidRDefault="0007727C" w:rsidP="0007727C">
            <w:pPr>
              <w:pStyle w:val="ListParagraph"/>
              <w:numPr>
                <w:ilvl w:val="0"/>
                <w:numId w:val="13"/>
              </w:numPr>
              <w:jc w:val="left"/>
              <w:rPr>
                <w:lang w:eastAsia="en-GB"/>
              </w:rPr>
            </w:pPr>
            <w:r>
              <w:rPr>
                <w:lang w:eastAsia="en-GB"/>
              </w:rPr>
              <w:t>Revised asset allocations agreed alongside the valuation process by February 2017.</w:t>
            </w:r>
          </w:p>
        </w:tc>
      </w:tr>
      <w:tr w:rsidR="00486913" w:rsidTr="00FA4A0A">
        <w:tc>
          <w:tcPr>
            <w:tcW w:w="2264" w:type="dxa"/>
          </w:tcPr>
          <w:p w:rsidR="004901C3" w:rsidRDefault="006C1917" w:rsidP="004901C3">
            <w:pPr>
              <w:jc w:val="left"/>
              <w:rPr>
                <w:lang w:eastAsia="en-GB"/>
              </w:rPr>
            </w:pPr>
            <w:r>
              <w:rPr>
                <w:lang w:eastAsia="en-GB"/>
              </w:rPr>
              <w:t>Completion of the 2016 Actuarial Valuation and identification of changes, if any, required in the Investment Strategy</w:t>
            </w:r>
          </w:p>
        </w:tc>
        <w:tc>
          <w:tcPr>
            <w:tcW w:w="2251" w:type="dxa"/>
          </w:tcPr>
          <w:p w:rsidR="004901C3" w:rsidRDefault="006C1917" w:rsidP="006C1917">
            <w:pPr>
              <w:pStyle w:val="ListParagraph"/>
              <w:numPr>
                <w:ilvl w:val="0"/>
                <w:numId w:val="17"/>
              </w:numPr>
              <w:jc w:val="left"/>
              <w:rPr>
                <w:lang w:eastAsia="en-GB"/>
              </w:rPr>
            </w:pPr>
            <w:r>
              <w:rPr>
                <w:lang w:eastAsia="en-GB"/>
              </w:rPr>
              <w:t>Provision of data to the Actuary at individual member level.</w:t>
            </w:r>
          </w:p>
          <w:p w:rsidR="006C1917" w:rsidRDefault="006C1917" w:rsidP="006C1917">
            <w:pPr>
              <w:pStyle w:val="ListParagraph"/>
              <w:numPr>
                <w:ilvl w:val="0"/>
                <w:numId w:val="17"/>
              </w:numPr>
              <w:jc w:val="left"/>
              <w:rPr>
                <w:lang w:eastAsia="en-GB"/>
              </w:rPr>
            </w:pPr>
            <w:r>
              <w:rPr>
                <w:lang w:eastAsia="en-GB"/>
              </w:rPr>
              <w:t>Agreement of key assumptions with the Actuary by the PFC</w:t>
            </w:r>
          </w:p>
          <w:p w:rsidR="006C1917" w:rsidRDefault="006C1917" w:rsidP="006C1917">
            <w:pPr>
              <w:pStyle w:val="ListParagraph"/>
              <w:numPr>
                <w:ilvl w:val="0"/>
                <w:numId w:val="17"/>
              </w:numPr>
              <w:jc w:val="left"/>
              <w:rPr>
                <w:lang w:eastAsia="en-GB"/>
              </w:rPr>
            </w:pPr>
            <w:r>
              <w:rPr>
                <w:lang w:eastAsia="en-GB"/>
              </w:rPr>
              <w:lastRenderedPageBreak/>
              <w:t xml:space="preserve">Engagement with employers on an ongoing basis throughout the process, but particularly as results become available. </w:t>
            </w:r>
          </w:p>
          <w:p w:rsidR="006C1917" w:rsidRDefault="006C1917" w:rsidP="006C1917">
            <w:pPr>
              <w:pStyle w:val="ListParagraph"/>
              <w:numPr>
                <w:ilvl w:val="0"/>
                <w:numId w:val="17"/>
              </w:numPr>
              <w:jc w:val="left"/>
              <w:rPr>
                <w:lang w:eastAsia="en-GB"/>
              </w:rPr>
            </w:pPr>
            <w:r>
              <w:rPr>
                <w:lang w:eastAsia="en-GB"/>
              </w:rPr>
              <w:t>Review of Investment Strategy in light of results.</w:t>
            </w:r>
          </w:p>
        </w:tc>
        <w:tc>
          <w:tcPr>
            <w:tcW w:w="2257" w:type="dxa"/>
          </w:tcPr>
          <w:p w:rsidR="004901C3" w:rsidRDefault="006C1917" w:rsidP="006C1917">
            <w:pPr>
              <w:pStyle w:val="ListParagraph"/>
              <w:numPr>
                <w:ilvl w:val="0"/>
                <w:numId w:val="17"/>
              </w:numPr>
              <w:jc w:val="left"/>
              <w:rPr>
                <w:lang w:eastAsia="en-GB"/>
              </w:rPr>
            </w:pPr>
            <w:r>
              <w:rPr>
                <w:lang w:eastAsia="en-GB"/>
              </w:rPr>
              <w:lastRenderedPageBreak/>
              <w:t>Maintenance of stable contribution rates.</w:t>
            </w:r>
          </w:p>
          <w:p w:rsidR="006C1917" w:rsidRDefault="006C1917" w:rsidP="006C1917">
            <w:pPr>
              <w:pStyle w:val="ListParagraph"/>
              <w:numPr>
                <w:ilvl w:val="0"/>
                <w:numId w:val="17"/>
              </w:numPr>
              <w:jc w:val="left"/>
              <w:rPr>
                <w:lang w:eastAsia="en-GB"/>
              </w:rPr>
            </w:pPr>
            <w:r>
              <w:rPr>
                <w:lang w:eastAsia="en-GB"/>
              </w:rPr>
              <w:t>Actuary's assessment of the quality of the data provided.</w:t>
            </w:r>
          </w:p>
          <w:p w:rsidR="006C1917" w:rsidRDefault="006C1917" w:rsidP="006C1917">
            <w:pPr>
              <w:pStyle w:val="ListParagraph"/>
              <w:numPr>
                <w:ilvl w:val="0"/>
                <w:numId w:val="17"/>
              </w:numPr>
              <w:jc w:val="left"/>
              <w:rPr>
                <w:lang w:eastAsia="en-GB"/>
              </w:rPr>
            </w:pPr>
            <w:r>
              <w:rPr>
                <w:lang w:eastAsia="en-GB"/>
              </w:rPr>
              <w:t xml:space="preserve">Adoption of revised </w:t>
            </w:r>
            <w:r>
              <w:rPr>
                <w:lang w:eastAsia="en-GB"/>
              </w:rPr>
              <w:lastRenderedPageBreak/>
              <w:t>Investment Strategy by PFC</w:t>
            </w:r>
          </w:p>
        </w:tc>
        <w:tc>
          <w:tcPr>
            <w:tcW w:w="2238" w:type="dxa"/>
          </w:tcPr>
          <w:p w:rsidR="004901C3" w:rsidRDefault="00222FD1" w:rsidP="006C1917">
            <w:pPr>
              <w:pStyle w:val="ListParagraph"/>
              <w:numPr>
                <w:ilvl w:val="0"/>
                <w:numId w:val="17"/>
              </w:numPr>
              <w:jc w:val="left"/>
              <w:rPr>
                <w:lang w:eastAsia="en-GB"/>
              </w:rPr>
            </w:pPr>
            <w:r>
              <w:rPr>
                <w:lang w:eastAsia="en-GB"/>
              </w:rPr>
              <w:lastRenderedPageBreak/>
              <w:t>Provision of data from April 2016.</w:t>
            </w:r>
          </w:p>
          <w:p w:rsidR="00222FD1" w:rsidRDefault="00222FD1" w:rsidP="006C1917">
            <w:pPr>
              <w:pStyle w:val="ListParagraph"/>
              <w:numPr>
                <w:ilvl w:val="0"/>
                <w:numId w:val="17"/>
              </w:numPr>
              <w:jc w:val="left"/>
              <w:rPr>
                <w:lang w:eastAsia="en-GB"/>
              </w:rPr>
            </w:pPr>
            <w:r>
              <w:rPr>
                <w:lang w:eastAsia="en-GB"/>
              </w:rPr>
              <w:t xml:space="preserve">Agreement of assumptions by PFC </w:t>
            </w:r>
            <w:proofErr w:type="spellStart"/>
            <w:proofErr w:type="gramStart"/>
            <w:r>
              <w:rPr>
                <w:lang w:eastAsia="en-GB"/>
              </w:rPr>
              <w:t>tbd</w:t>
            </w:r>
            <w:proofErr w:type="spellEnd"/>
            <w:proofErr w:type="gramEnd"/>
            <w:r>
              <w:rPr>
                <w:lang w:eastAsia="en-GB"/>
              </w:rPr>
              <w:t xml:space="preserve"> in line with Actuary's timetable.</w:t>
            </w:r>
          </w:p>
          <w:p w:rsidR="00222FD1" w:rsidRDefault="00222FD1" w:rsidP="006C1917">
            <w:pPr>
              <w:pStyle w:val="ListParagraph"/>
              <w:numPr>
                <w:ilvl w:val="0"/>
                <w:numId w:val="17"/>
              </w:numPr>
              <w:jc w:val="left"/>
              <w:rPr>
                <w:lang w:eastAsia="en-GB"/>
              </w:rPr>
            </w:pPr>
            <w:r>
              <w:rPr>
                <w:lang w:eastAsia="en-GB"/>
              </w:rPr>
              <w:t xml:space="preserve">Feedback of results from </w:t>
            </w:r>
            <w:r>
              <w:rPr>
                <w:lang w:eastAsia="en-GB"/>
              </w:rPr>
              <w:lastRenderedPageBreak/>
              <w:t xml:space="preserve">September 2016. </w:t>
            </w:r>
          </w:p>
          <w:p w:rsidR="00222FD1" w:rsidRDefault="00222FD1" w:rsidP="006C1917">
            <w:pPr>
              <w:pStyle w:val="ListParagraph"/>
              <w:numPr>
                <w:ilvl w:val="0"/>
                <w:numId w:val="17"/>
              </w:numPr>
              <w:jc w:val="left"/>
              <w:rPr>
                <w:lang w:eastAsia="en-GB"/>
              </w:rPr>
            </w:pPr>
            <w:r>
              <w:rPr>
                <w:lang w:eastAsia="en-GB"/>
              </w:rPr>
              <w:t>Revised Investment Strategy to PFC Feb / March 2017.</w:t>
            </w:r>
          </w:p>
          <w:p w:rsidR="00222FD1" w:rsidRDefault="00222FD1" w:rsidP="006C1917">
            <w:pPr>
              <w:pStyle w:val="ListParagraph"/>
              <w:numPr>
                <w:ilvl w:val="0"/>
                <w:numId w:val="17"/>
              </w:numPr>
              <w:jc w:val="left"/>
              <w:rPr>
                <w:lang w:eastAsia="en-GB"/>
              </w:rPr>
            </w:pPr>
            <w:r>
              <w:rPr>
                <w:lang w:eastAsia="en-GB"/>
              </w:rPr>
              <w:t>Implementation of revised Rates and Adjustments Certificate from April 2017.</w:t>
            </w:r>
          </w:p>
        </w:tc>
      </w:tr>
      <w:tr w:rsidR="00486913" w:rsidTr="00FA4A0A">
        <w:tc>
          <w:tcPr>
            <w:tcW w:w="2264" w:type="dxa"/>
          </w:tcPr>
          <w:p w:rsidR="0007727C" w:rsidRPr="00A45D29" w:rsidRDefault="0007727C" w:rsidP="0007727C">
            <w:pPr>
              <w:jc w:val="left"/>
              <w:rPr>
                <w:sz w:val="22"/>
                <w:szCs w:val="22"/>
              </w:rPr>
            </w:pPr>
            <w:r w:rsidRPr="00A45D29">
              <w:rPr>
                <w:sz w:val="22"/>
                <w:szCs w:val="22"/>
              </w:rPr>
              <w:lastRenderedPageBreak/>
              <w:t>Continue to explore the potential opportunities arising from collaboration with other Funds within both Local Government Pension Scheme, and wider Pension Fund community</w:t>
            </w:r>
          </w:p>
          <w:p w:rsidR="004901C3" w:rsidRDefault="004901C3" w:rsidP="004901C3">
            <w:pPr>
              <w:jc w:val="left"/>
              <w:rPr>
                <w:lang w:eastAsia="en-GB"/>
              </w:rPr>
            </w:pPr>
          </w:p>
        </w:tc>
        <w:tc>
          <w:tcPr>
            <w:tcW w:w="2251" w:type="dxa"/>
          </w:tcPr>
          <w:p w:rsidR="004901C3" w:rsidRDefault="00B6497A" w:rsidP="00B6497A">
            <w:pPr>
              <w:pStyle w:val="ListParagraph"/>
              <w:numPr>
                <w:ilvl w:val="0"/>
                <w:numId w:val="16"/>
              </w:numPr>
              <w:jc w:val="left"/>
              <w:rPr>
                <w:lang w:eastAsia="en-GB"/>
              </w:rPr>
            </w:pPr>
            <w:r>
              <w:rPr>
                <w:lang w:eastAsia="en-GB"/>
              </w:rPr>
              <w:t>Finalise discussions with the LPFA on the benefits of pooling investments.</w:t>
            </w:r>
          </w:p>
          <w:p w:rsidR="00B6497A" w:rsidRDefault="006C1917" w:rsidP="00B6497A">
            <w:pPr>
              <w:pStyle w:val="ListParagraph"/>
              <w:numPr>
                <w:ilvl w:val="0"/>
                <w:numId w:val="16"/>
              </w:numPr>
              <w:jc w:val="left"/>
              <w:rPr>
                <w:lang w:eastAsia="en-GB"/>
              </w:rPr>
            </w:pPr>
            <w:r>
              <w:rPr>
                <w:lang w:eastAsia="en-GB"/>
              </w:rPr>
              <w:t>Identify other potential opportunities either to share expertise with other funds or to make appropriate investments alongside each other.</w:t>
            </w:r>
          </w:p>
        </w:tc>
        <w:tc>
          <w:tcPr>
            <w:tcW w:w="2257" w:type="dxa"/>
          </w:tcPr>
          <w:p w:rsidR="004901C3" w:rsidRDefault="006C1917" w:rsidP="006C1917">
            <w:pPr>
              <w:pStyle w:val="ListParagraph"/>
              <w:numPr>
                <w:ilvl w:val="0"/>
                <w:numId w:val="16"/>
              </w:numPr>
              <w:jc w:val="left"/>
              <w:rPr>
                <w:lang w:eastAsia="en-GB"/>
              </w:rPr>
            </w:pPr>
            <w:r>
              <w:rPr>
                <w:lang w:eastAsia="en-GB"/>
              </w:rPr>
              <w:t>Decision on the ALM Partnership with LPFA.</w:t>
            </w:r>
          </w:p>
          <w:p w:rsidR="006C1917" w:rsidRDefault="006C1917" w:rsidP="006C1917">
            <w:pPr>
              <w:pStyle w:val="ListParagraph"/>
              <w:numPr>
                <w:ilvl w:val="0"/>
                <w:numId w:val="16"/>
              </w:numPr>
              <w:jc w:val="left"/>
              <w:rPr>
                <w:lang w:eastAsia="en-GB"/>
              </w:rPr>
            </w:pPr>
            <w:r>
              <w:rPr>
                <w:lang w:eastAsia="en-GB"/>
              </w:rPr>
              <w:t>Opportunities identified and taken through to conclusion and then reported to PFC by the Investment Panel.</w:t>
            </w:r>
          </w:p>
        </w:tc>
        <w:tc>
          <w:tcPr>
            <w:tcW w:w="2238" w:type="dxa"/>
          </w:tcPr>
          <w:p w:rsidR="004901C3" w:rsidRDefault="006C1917" w:rsidP="006C1917">
            <w:pPr>
              <w:pStyle w:val="ListParagraph"/>
              <w:numPr>
                <w:ilvl w:val="0"/>
                <w:numId w:val="16"/>
              </w:numPr>
              <w:jc w:val="left"/>
              <w:rPr>
                <w:lang w:eastAsia="en-GB"/>
              </w:rPr>
            </w:pPr>
            <w:r>
              <w:rPr>
                <w:lang w:eastAsia="en-GB"/>
              </w:rPr>
              <w:t>Partnership Decision July 2015.</w:t>
            </w:r>
          </w:p>
          <w:p w:rsidR="006C1917" w:rsidRDefault="006C1917" w:rsidP="006C1917">
            <w:pPr>
              <w:pStyle w:val="ListParagraph"/>
              <w:numPr>
                <w:ilvl w:val="0"/>
                <w:numId w:val="16"/>
              </w:numPr>
              <w:jc w:val="left"/>
              <w:rPr>
                <w:lang w:eastAsia="en-GB"/>
              </w:rPr>
            </w:pPr>
            <w:r>
              <w:rPr>
                <w:lang w:eastAsia="en-GB"/>
              </w:rPr>
              <w:t>Other opportunities and investments ongoing.</w:t>
            </w:r>
          </w:p>
        </w:tc>
      </w:tr>
      <w:tr w:rsidR="00486913" w:rsidTr="00FA4A0A">
        <w:tc>
          <w:tcPr>
            <w:tcW w:w="2264" w:type="dxa"/>
          </w:tcPr>
          <w:p w:rsidR="004901C3" w:rsidRDefault="004901C3" w:rsidP="004901C3">
            <w:pPr>
              <w:jc w:val="left"/>
              <w:rPr>
                <w:lang w:eastAsia="en-GB"/>
              </w:rPr>
            </w:pPr>
            <w:r>
              <w:rPr>
                <w:lang w:eastAsia="en-GB"/>
              </w:rPr>
              <w:t xml:space="preserve">Review and update of </w:t>
            </w:r>
            <w:r w:rsidR="0007727C">
              <w:rPr>
                <w:lang w:eastAsia="en-GB"/>
              </w:rPr>
              <w:t xml:space="preserve">the 5 </w:t>
            </w:r>
            <w:r>
              <w:rPr>
                <w:lang w:eastAsia="en-GB"/>
              </w:rPr>
              <w:t xml:space="preserve">asset class investment </w:t>
            </w:r>
            <w:r>
              <w:rPr>
                <w:lang w:eastAsia="en-GB"/>
              </w:rPr>
              <w:lastRenderedPageBreak/>
              <w:t>strategies</w:t>
            </w:r>
            <w:r w:rsidR="0007727C">
              <w:rPr>
                <w:lang w:eastAsia="en-GB"/>
              </w:rPr>
              <w:t xml:space="preserve"> in order to ensure that they remain relevant to both the needs of the Fund and deliverable within market constraints.</w:t>
            </w:r>
          </w:p>
        </w:tc>
        <w:tc>
          <w:tcPr>
            <w:tcW w:w="2251" w:type="dxa"/>
          </w:tcPr>
          <w:p w:rsidR="004901C3" w:rsidRDefault="0007727C" w:rsidP="0007727C">
            <w:pPr>
              <w:pStyle w:val="ListParagraph"/>
              <w:numPr>
                <w:ilvl w:val="0"/>
                <w:numId w:val="14"/>
              </w:numPr>
              <w:jc w:val="left"/>
              <w:rPr>
                <w:lang w:eastAsia="en-GB"/>
              </w:rPr>
            </w:pPr>
            <w:r>
              <w:rPr>
                <w:lang w:eastAsia="en-GB"/>
              </w:rPr>
              <w:lastRenderedPageBreak/>
              <w:t xml:space="preserve">Formal review of progress against and the </w:t>
            </w:r>
            <w:r>
              <w:rPr>
                <w:lang w:eastAsia="en-GB"/>
              </w:rPr>
              <w:lastRenderedPageBreak/>
              <w:t>continuing relevance of each strategy by the Investment Panel.</w:t>
            </w:r>
          </w:p>
          <w:p w:rsidR="0007727C" w:rsidRDefault="00B6497A" w:rsidP="0007727C">
            <w:pPr>
              <w:pStyle w:val="ListParagraph"/>
              <w:numPr>
                <w:ilvl w:val="0"/>
                <w:numId w:val="14"/>
              </w:numPr>
              <w:jc w:val="left"/>
              <w:rPr>
                <w:lang w:eastAsia="en-GB"/>
              </w:rPr>
            </w:pPr>
            <w:r>
              <w:rPr>
                <w:lang w:eastAsia="en-GB"/>
              </w:rPr>
              <w:t>Commissioning of revised strategies by the Investment Panel.</w:t>
            </w:r>
          </w:p>
          <w:p w:rsidR="00B6497A" w:rsidRDefault="00B6497A" w:rsidP="0007727C">
            <w:pPr>
              <w:pStyle w:val="ListParagraph"/>
              <w:numPr>
                <w:ilvl w:val="0"/>
                <w:numId w:val="14"/>
              </w:numPr>
              <w:jc w:val="left"/>
              <w:rPr>
                <w:lang w:eastAsia="en-GB"/>
              </w:rPr>
            </w:pPr>
            <w:r>
              <w:rPr>
                <w:lang w:eastAsia="en-GB"/>
              </w:rPr>
              <w:t>Consideration and approval of revised strategies by PFC.</w:t>
            </w:r>
          </w:p>
        </w:tc>
        <w:tc>
          <w:tcPr>
            <w:tcW w:w="2257" w:type="dxa"/>
          </w:tcPr>
          <w:p w:rsidR="004901C3" w:rsidRDefault="00B6497A" w:rsidP="00B6497A">
            <w:pPr>
              <w:pStyle w:val="ListParagraph"/>
              <w:numPr>
                <w:ilvl w:val="0"/>
                <w:numId w:val="14"/>
              </w:numPr>
              <w:jc w:val="left"/>
              <w:rPr>
                <w:lang w:eastAsia="en-GB"/>
              </w:rPr>
            </w:pPr>
            <w:r>
              <w:rPr>
                <w:lang w:eastAsia="en-GB"/>
              </w:rPr>
              <w:lastRenderedPageBreak/>
              <w:t xml:space="preserve">Approval of proposals for </w:t>
            </w:r>
            <w:r>
              <w:rPr>
                <w:lang w:eastAsia="en-GB"/>
              </w:rPr>
              <w:lastRenderedPageBreak/>
              <w:t>change by  PFC.</w:t>
            </w:r>
          </w:p>
          <w:p w:rsidR="00B6497A" w:rsidRDefault="00B6497A" w:rsidP="00B6497A">
            <w:pPr>
              <w:pStyle w:val="ListParagraph"/>
              <w:numPr>
                <w:ilvl w:val="0"/>
                <w:numId w:val="14"/>
              </w:numPr>
              <w:jc w:val="left"/>
              <w:rPr>
                <w:lang w:eastAsia="en-GB"/>
              </w:rPr>
            </w:pPr>
            <w:r>
              <w:rPr>
                <w:lang w:eastAsia="en-GB"/>
              </w:rPr>
              <w:t>Achievement of target returns (and levels of volatility) by investments selected under the strategies.</w:t>
            </w:r>
          </w:p>
          <w:p w:rsidR="00B6497A" w:rsidRDefault="00B6497A" w:rsidP="00B6497A">
            <w:pPr>
              <w:pStyle w:val="ListParagraph"/>
              <w:ind w:left="360"/>
              <w:jc w:val="left"/>
              <w:rPr>
                <w:lang w:eastAsia="en-GB"/>
              </w:rPr>
            </w:pPr>
          </w:p>
        </w:tc>
        <w:tc>
          <w:tcPr>
            <w:tcW w:w="2238" w:type="dxa"/>
          </w:tcPr>
          <w:p w:rsidR="004901C3" w:rsidRDefault="00B6497A" w:rsidP="00B6497A">
            <w:pPr>
              <w:pStyle w:val="ListParagraph"/>
              <w:numPr>
                <w:ilvl w:val="0"/>
                <w:numId w:val="14"/>
              </w:numPr>
              <w:jc w:val="left"/>
              <w:rPr>
                <w:lang w:eastAsia="en-GB"/>
              </w:rPr>
            </w:pPr>
            <w:r>
              <w:rPr>
                <w:lang w:eastAsia="en-GB"/>
              </w:rPr>
              <w:lastRenderedPageBreak/>
              <w:t xml:space="preserve">Infrastructure Strategy for </w:t>
            </w:r>
            <w:r>
              <w:rPr>
                <w:lang w:eastAsia="en-GB"/>
              </w:rPr>
              <w:lastRenderedPageBreak/>
              <w:t>formal approval June 2015.</w:t>
            </w:r>
          </w:p>
          <w:p w:rsidR="00B6497A" w:rsidRDefault="00B6497A" w:rsidP="00B6497A">
            <w:pPr>
              <w:pStyle w:val="ListParagraph"/>
              <w:numPr>
                <w:ilvl w:val="0"/>
                <w:numId w:val="14"/>
              </w:numPr>
              <w:jc w:val="left"/>
              <w:rPr>
                <w:lang w:eastAsia="en-GB"/>
              </w:rPr>
            </w:pPr>
            <w:r>
              <w:rPr>
                <w:lang w:eastAsia="en-GB"/>
              </w:rPr>
              <w:t>Equity and Private Equity to go to PFC during 2015/16</w:t>
            </w:r>
          </w:p>
          <w:p w:rsidR="00B6497A" w:rsidRDefault="00B6497A" w:rsidP="00B6497A">
            <w:pPr>
              <w:pStyle w:val="ListParagraph"/>
              <w:numPr>
                <w:ilvl w:val="0"/>
                <w:numId w:val="14"/>
              </w:numPr>
              <w:jc w:val="left"/>
              <w:rPr>
                <w:lang w:eastAsia="en-GB"/>
              </w:rPr>
            </w:pPr>
            <w:r>
              <w:rPr>
                <w:lang w:eastAsia="en-GB"/>
              </w:rPr>
              <w:t>Property and Credit Strategies to go to PFC during 2016/17.</w:t>
            </w:r>
          </w:p>
          <w:p w:rsidR="00B6497A" w:rsidRDefault="00B6497A" w:rsidP="00002024">
            <w:pPr>
              <w:pStyle w:val="ListParagraph"/>
              <w:numPr>
                <w:ilvl w:val="0"/>
                <w:numId w:val="14"/>
              </w:numPr>
              <w:jc w:val="left"/>
              <w:rPr>
                <w:lang w:eastAsia="en-GB"/>
              </w:rPr>
            </w:pPr>
            <w:r>
              <w:rPr>
                <w:lang w:eastAsia="en-GB"/>
              </w:rPr>
              <w:t>Infrastructure to go to PFC following review during 2017/18.</w:t>
            </w:r>
          </w:p>
        </w:tc>
      </w:tr>
      <w:tr w:rsidR="00486913" w:rsidTr="00FA4A0A">
        <w:tc>
          <w:tcPr>
            <w:tcW w:w="2264" w:type="dxa"/>
          </w:tcPr>
          <w:p w:rsidR="004901C3" w:rsidRDefault="004901C3" w:rsidP="00B6497A">
            <w:pPr>
              <w:jc w:val="left"/>
              <w:rPr>
                <w:lang w:eastAsia="en-GB"/>
              </w:rPr>
            </w:pPr>
            <w:r>
              <w:rPr>
                <w:lang w:eastAsia="en-GB"/>
              </w:rPr>
              <w:lastRenderedPageBreak/>
              <w:t>Development and implementation of</w:t>
            </w:r>
            <w:r w:rsidR="00B6497A">
              <w:rPr>
                <w:lang w:eastAsia="en-GB"/>
              </w:rPr>
              <w:t xml:space="preserve"> a L</w:t>
            </w:r>
            <w:r>
              <w:rPr>
                <w:lang w:eastAsia="en-GB"/>
              </w:rPr>
              <w:t xml:space="preserve">iability </w:t>
            </w:r>
            <w:r w:rsidR="00B6497A">
              <w:rPr>
                <w:lang w:eastAsia="en-GB"/>
              </w:rPr>
              <w:t>Management S</w:t>
            </w:r>
            <w:r>
              <w:rPr>
                <w:lang w:eastAsia="en-GB"/>
              </w:rPr>
              <w:t>trategy</w:t>
            </w:r>
          </w:p>
        </w:tc>
        <w:tc>
          <w:tcPr>
            <w:tcW w:w="2251" w:type="dxa"/>
          </w:tcPr>
          <w:p w:rsidR="004901C3" w:rsidRDefault="00B6497A" w:rsidP="00B6497A">
            <w:pPr>
              <w:pStyle w:val="ListParagraph"/>
              <w:numPr>
                <w:ilvl w:val="0"/>
                <w:numId w:val="15"/>
              </w:numPr>
              <w:jc w:val="left"/>
              <w:rPr>
                <w:lang w:eastAsia="en-GB"/>
              </w:rPr>
            </w:pPr>
            <w:r>
              <w:rPr>
                <w:lang w:eastAsia="en-GB"/>
              </w:rPr>
              <w:t>Agreement by Investment Panel and PFC on the degree to which the Fund should seek to manage its liabilities.</w:t>
            </w:r>
          </w:p>
          <w:p w:rsidR="00B6497A" w:rsidRDefault="00B6497A" w:rsidP="00B6497A">
            <w:pPr>
              <w:pStyle w:val="ListParagraph"/>
              <w:numPr>
                <w:ilvl w:val="0"/>
                <w:numId w:val="15"/>
              </w:numPr>
              <w:jc w:val="left"/>
              <w:rPr>
                <w:lang w:eastAsia="en-GB"/>
              </w:rPr>
            </w:pPr>
            <w:r>
              <w:rPr>
                <w:lang w:eastAsia="en-GB"/>
              </w:rPr>
              <w:t xml:space="preserve">Adoption and implementation of approved strategy, including the appointment of any fund </w:t>
            </w:r>
            <w:r>
              <w:rPr>
                <w:lang w:eastAsia="en-GB"/>
              </w:rPr>
              <w:lastRenderedPageBreak/>
              <w:t>managers required.</w:t>
            </w:r>
          </w:p>
        </w:tc>
        <w:tc>
          <w:tcPr>
            <w:tcW w:w="2257" w:type="dxa"/>
          </w:tcPr>
          <w:p w:rsidR="004901C3" w:rsidRDefault="00B6497A" w:rsidP="00B6497A">
            <w:pPr>
              <w:pStyle w:val="ListParagraph"/>
              <w:numPr>
                <w:ilvl w:val="0"/>
                <w:numId w:val="15"/>
              </w:numPr>
              <w:jc w:val="left"/>
              <w:rPr>
                <w:lang w:eastAsia="en-GB"/>
              </w:rPr>
            </w:pPr>
            <w:r>
              <w:rPr>
                <w:lang w:eastAsia="en-GB"/>
              </w:rPr>
              <w:lastRenderedPageBreak/>
              <w:t>Adoption of agreed strategy by PFC.</w:t>
            </w:r>
          </w:p>
          <w:p w:rsidR="00B6497A" w:rsidRDefault="00B6497A" w:rsidP="00B6497A">
            <w:pPr>
              <w:pStyle w:val="ListParagraph"/>
              <w:numPr>
                <w:ilvl w:val="0"/>
                <w:numId w:val="15"/>
              </w:numPr>
              <w:jc w:val="left"/>
              <w:rPr>
                <w:lang w:eastAsia="en-GB"/>
              </w:rPr>
            </w:pPr>
            <w:r>
              <w:rPr>
                <w:lang w:eastAsia="en-GB"/>
              </w:rPr>
              <w:t>Impact on the scale of the Fund's risk exposure specifically to:</w:t>
            </w:r>
          </w:p>
          <w:p w:rsidR="00B6497A" w:rsidRDefault="00B6497A" w:rsidP="00B6497A">
            <w:pPr>
              <w:pStyle w:val="ListParagraph"/>
              <w:numPr>
                <w:ilvl w:val="1"/>
                <w:numId w:val="15"/>
              </w:numPr>
              <w:jc w:val="left"/>
              <w:rPr>
                <w:lang w:eastAsia="en-GB"/>
              </w:rPr>
            </w:pPr>
            <w:r>
              <w:rPr>
                <w:lang w:eastAsia="en-GB"/>
              </w:rPr>
              <w:t>Long term interest rates</w:t>
            </w:r>
          </w:p>
          <w:p w:rsidR="00B6497A" w:rsidRDefault="00B6497A" w:rsidP="00B6497A">
            <w:pPr>
              <w:pStyle w:val="ListParagraph"/>
              <w:numPr>
                <w:ilvl w:val="1"/>
                <w:numId w:val="15"/>
              </w:numPr>
              <w:jc w:val="left"/>
              <w:rPr>
                <w:lang w:eastAsia="en-GB"/>
              </w:rPr>
            </w:pPr>
            <w:r>
              <w:rPr>
                <w:lang w:eastAsia="en-GB"/>
              </w:rPr>
              <w:t>Inflation</w:t>
            </w:r>
          </w:p>
        </w:tc>
        <w:tc>
          <w:tcPr>
            <w:tcW w:w="2238" w:type="dxa"/>
          </w:tcPr>
          <w:p w:rsidR="004901C3" w:rsidRDefault="00B6497A" w:rsidP="00B6497A">
            <w:pPr>
              <w:pStyle w:val="ListParagraph"/>
              <w:numPr>
                <w:ilvl w:val="0"/>
                <w:numId w:val="15"/>
              </w:numPr>
              <w:jc w:val="left"/>
              <w:rPr>
                <w:lang w:eastAsia="en-GB"/>
              </w:rPr>
            </w:pPr>
            <w:r>
              <w:rPr>
                <w:lang w:eastAsia="en-GB"/>
              </w:rPr>
              <w:t>Strategy agreed by the end of the 2015 calendar year.</w:t>
            </w:r>
          </w:p>
          <w:p w:rsidR="00B6497A" w:rsidRDefault="00B6497A" w:rsidP="00B6497A">
            <w:pPr>
              <w:pStyle w:val="ListParagraph"/>
              <w:numPr>
                <w:ilvl w:val="0"/>
                <w:numId w:val="15"/>
              </w:numPr>
              <w:jc w:val="left"/>
              <w:rPr>
                <w:lang w:eastAsia="en-GB"/>
              </w:rPr>
            </w:pPr>
            <w:r>
              <w:rPr>
                <w:lang w:eastAsia="en-GB"/>
              </w:rPr>
              <w:t>Implementation during 2016/17.</w:t>
            </w:r>
          </w:p>
          <w:p w:rsidR="00B6497A" w:rsidRDefault="00B6497A" w:rsidP="00B6497A">
            <w:pPr>
              <w:pStyle w:val="ListParagraph"/>
              <w:numPr>
                <w:ilvl w:val="0"/>
                <w:numId w:val="15"/>
              </w:numPr>
              <w:jc w:val="left"/>
              <w:rPr>
                <w:lang w:eastAsia="en-GB"/>
              </w:rPr>
            </w:pPr>
            <w:r>
              <w:rPr>
                <w:lang w:eastAsia="en-GB"/>
              </w:rPr>
              <w:t>Initial review at end of 2017/18.</w:t>
            </w:r>
          </w:p>
        </w:tc>
      </w:tr>
    </w:tbl>
    <w:p w:rsidR="001411AE" w:rsidRDefault="001411AE" w:rsidP="001411AE">
      <w:pPr>
        <w:rPr>
          <w:b/>
          <w:sz w:val="32"/>
          <w:szCs w:val="32"/>
          <w:lang w:eastAsia="en-GB"/>
        </w:rPr>
        <w:sectPr w:rsidR="001411AE" w:rsidSect="004901C3">
          <w:pgSz w:w="11900" w:h="16840" w:code="9"/>
          <w:pgMar w:top="1440" w:right="1440" w:bottom="851" w:left="1440" w:header="567" w:footer="567" w:gutter="0"/>
          <w:cols w:space="292"/>
          <w:docGrid w:linePitch="326"/>
        </w:sectPr>
      </w:pPr>
    </w:p>
    <w:p w:rsidR="001411AE" w:rsidRPr="00486913" w:rsidRDefault="001411AE" w:rsidP="001411AE">
      <w:pPr>
        <w:rPr>
          <w:b/>
          <w:sz w:val="28"/>
          <w:szCs w:val="28"/>
          <w:lang w:eastAsia="en-GB"/>
        </w:rPr>
      </w:pPr>
      <w:r>
        <w:rPr>
          <w:b/>
          <w:sz w:val="32"/>
          <w:szCs w:val="32"/>
          <w:lang w:eastAsia="en-GB"/>
        </w:rPr>
        <w:lastRenderedPageBreak/>
        <w:t>Administration</w:t>
      </w:r>
    </w:p>
    <w:p w:rsidR="007D705A" w:rsidRPr="00486913" w:rsidRDefault="007D705A" w:rsidP="001411AE">
      <w:pPr>
        <w:rPr>
          <w:sz w:val="28"/>
          <w:szCs w:val="28"/>
          <w:lang w:eastAsia="en-GB"/>
        </w:rPr>
      </w:pPr>
      <w:r w:rsidRPr="00486913">
        <w:rPr>
          <w:b/>
          <w:sz w:val="28"/>
          <w:szCs w:val="28"/>
          <w:lang w:eastAsia="en-GB"/>
        </w:rPr>
        <w:t>Lead officer – Diane Lister</w:t>
      </w:r>
      <w:r w:rsidR="00486913" w:rsidRPr="00486913">
        <w:rPr>
          <w:b/>
          <w:sz w:val="28"/>
          <w:szCs w:val="28"/>
          <w:lang w:eastAsia="en-GB"/>
        </w:rPr>
        <w:t xml:space="preserve"> Head of Your Pension Service</w:t>
      </w:r>
    </w:p>
    <w:p w:rsidR="001411AE" w:rsidRDefault="001411AE" w:rsidP="001411AE">
      <w:pPr>
        <w:rPr>
          <w:lang w:eastAsia="en-GB"/>
        </w:rPr>
      </w:pPr>
      <w:r>
        <w:rPr>
          <w:lang w:eastAsia="en-GB"/>
        </w:rPr>
        <w:t>Administration is the process through which the information required to maintain members' contribution records, collect contributions due and calculate and pay their benefits in an accurate and timely way is undertaken.</w:t>
      </w:r>
    </w:p>
    <w:p w:rsidR="001411AE" w:rsidRDefault="001411AE" w:rsidP="001411AE">
      <w:pPr>
        <w:rPr>
          <w:lang w:eastAsia="en-GB"/>
        </w:rPr>
      </w:pPr>
    </w:p>
    <w:p w:rsidR="001411AE" w:rsidRDefault="001411AE" w:rsidP="001411AE">
      <w:pPr>
        <w:rPr>
          <w:lang w:eastAsia="en-GB"/>
        </w:rPr>
      </w:pPr>
      <w:r>
        <w:rPr>
          <w:lang w:eastAsia="en-GB"/>
        </w:rPr>
        <w:t>Our objectives in this area are:</w:t>
      </w:r>
    </w:p>
    <w:p w:rsidR="001411AE" w:rsidRDefault="001411AE" w:rsidP="001411AE">
      <w:pPr>
        <w:numPr>
          <w:ilvl w:val="0"/>
          <w:numId w:val="8"/>
        </w:numPr>
        <w:rPr>
          <w:lang w:eastAsia="en-GB"/>
        </w:rPr>
      </w:pPr>
      <w:r>
        <w:rPr>
          <w:lang w:eastAsia="en-GB"/>
        </w:rPr>
        <w:t>To deliver a high quality, cost-effective, user-friendly and informative service to all members, potential members and employers at the point where it is needed;</w:t>
      </w:r>
    </w:p>
    <w:p w:rsidR="001411AE" w:rsidRDefault="001411AE" w:rsidP="001411AE">
      <w:pPr>
        <w:numPr>
          <w:ilvl w:val="0"/>
          <w:numId w:val="8"/>
        </w:numPr>
        <w:rPr>
          <w:lang w:eastAsia="en-GB"/>
        </w:rPr>
      </w:pPr>
      <w:r>
        <w:rPr>
          <w:lang w:eastAsia="en-GB"/>
        </w:rPr>
        <w:t>To ensure that benefits are paid and contributions collected accurately and on time;</w:t>
      </w:r>
    </w:p>
    <w:p w:rsidR="001411AE" w:rsidRDefault="001411AE" w:rsidP="001411AE">
      <w:pPr>
        <w:numPr>
          <w:ilvl w:val="0"/>
          <w:numId w:val="8"/>
        </w:numPr>
        <w:rPr>
          <w:lang w:eastAsia="en-GB"/>
        </w:rPr>
      </w:pPr>
      <w:r>
        <w:rPr>
          <w:lang w:eastAsia="en-GB"/>
        </w:rPr>
        <w:t>To demonstrate compliance with all relevant regulatory requirements;</w:t>
      </w:r>
    </w:p>
    <w:p w:rsidR="001411AE" w:rsidRDefault="001411AE" w:rsidP="001411AE">
      <w:pPr>
        <w:numPr>
          <w:ilvl w:val="0"/>
          <w:numId w:val="8"/>
        </w:numPr>
        <w:rPr>
          <w:lang w:eastAsia="en-GB"/>
        </w:rPr>
      </w:pPr>
      <w:r>
        <w:rPr>
          <w:lang w:eastAsia="en-GB"/>
        </w:rPr>
        <w:t>To ensure that data is handled securely and used only for authorised purposes.</w:t>
      </w:r>
    </w:p>
    <w:p w:rsidR="001411AE" w:rsidRDefault="001411AE" w:rsidP="001411AE">
      <w:pPr>
        <w:rPr>
          <w:lang w:eastAsia="en-GB"/>
        </w:rPr>
      </w:pPr>
    </w:p>
    <w:p w:rsidR="001411AE" w:rsidRDefault="001411AE" w:rsidP="001411AE">
      <w:pPr>
        <w:rPr>
          <w:lang w:eastAsia="en-GB"/>
        </w:rPr>
      </w:pPr>
      <w:r>
        <w:rPr>
          <w:lang w:eastAsia="en-GB"/>
        </w:rPr>
        <w:t>Over the next three years we are aiming to undertake the following actions in this area:</w:t>
      </w:r>
    </w:p>
    <w:p w:rsidR="001411AE" w:rsidRPr="00A45D29" w:rsidRDefault="001411AE" w:rsidP="001411AE">
      <w:pPr>
        <w:rPr>
          <w:b/>
          <w:sz w:val="22"/>
          <w:szCs w:val="22"/>
          <w:lang w:eastAsia="en-GB"/>
        </w:rPr>
      </w:pPr>
    </w:p>
    <w:tbl>
      <w:tblPr>
        <w:tblStyle w:val="TableGrid"/>
        <w:tblW w:w="5000" w:type="pct"/>
        <w:tblLook w:val="04A0" w:firstRow="1" w:lastRow="0" w:firstColumn="1" w:lastColumn="0" w:noHBand="0" w:noVBand="1"/>
      </w:tblPr>
      <w:tblGrid>
        <w:gridCol w:w="2768"/>
        <w:gridCol w:w="2103"/>
        <w:gridCol w:w="2676"/>
        <w:gridCol w:w="1910"/>
      </w:tblGrid>
      <w:tr w:rsidR="001411AE" w:rsidRPr="00A45D29" w:rsidTr="004901C3">
        <w:tc>
          <w:tcPr>
            <w:tcW w:w="1463" w:type="pct"/>
          </w:tcPr>
          <w:p w:rsidR="001411AE" w:rsidRPr="00A45D29" w:rsidRDefault="001411AE" w:rsidP="00CE3146">
            <w:pPr>
              <w:rPr>
                <w:b/>
                <w:sz w:val="22"/>
                <w:szCs w:val="22"/>
              </w:rPr>
            </w:pPr>
            <w:r w:rsidRPr="00A45D29">
              <w:rPr>
                <w:b/>
                <w:sz w:val="22"/>
                <w:szCs w:val="22"/>
              </w:rPr>
              <w:t>Action</w:t>
            </w:r>
          </w:p>
        </w:tc>
        <w:tc>
          <w:tcPr>
            <w:tcW w:w="1112" w:type="pct"/>
          </w:tcPr>
          <w:p w:rsidR="001411AE" w:rsidRPr="00A45D29" w:rsidRDefault="001411AE" w:rsidP="00CE3146">
            <w:pPr>
              <w:jc w:val="left"/>
              <w:rPr>
                <w:b/>
                <w:sz w:val="22"/>
                <w:szCs w:val="22"/>
              </w:rPr>
            </w:pPr>
            <w:r w:rsidRPr="00A45D29">
              <w:rPr>
                <w:b/>
                <w:sz w:val="22"/>
                <w:szCs w:val="22"/>
              </w:rPr>
              <w:t>How will this be achieved?</w:t>
            </w:r>
          </w:p>
        </w:tc>
        <w:tc>
          <w:tcPr>
            <w:tcW w:w="1415" w:type="pct"/>
          </w:tcPr>
          <w:p w:rsidR="001411AE" w:rsidRPr="00A45D29" w:rsidRDefault="001411AE" w:rsidP="00CE3146">
            <w:pPr>
              <w:jc w:val="left"/>
              <w:rPr>
                <w:b/>
                <w:sz w:val="22"/>
                <w:szCs w:val="22"/>
              </w:rPr>
            </w:pPr>
            <w:r w:rsidRPr="00A45D29">
              <w:rPr>
                <w:b/>
                <w:sz w:val="22"/>
                <w:szCs w:val="22"/>
              </w:rPr>
              <w:t>How will success be measured?</w:t>
            </w:r>
          </w:p>
        </w:tc>
        <w:tc>
          <w:tcPr>
            <w:tcW w:w="1010" w:type="pct"/>
          </w:tcPr>
          <w:p w:rsidR="001411AE" w:rsidRPr="00A45D29" w:rsidRDefault="001411AE" w:rsidP="00CE3146">
            <w:pPr>
              <w:jc w:val="left"/>
              <w:rPr>
                <w:b/>
                <w:sz w:val="22"/>
                <w:szCs w:val="22"/>
              </w:rPr>
            </w:pPr>
            <w:r w:rsidRPr="00A45D29">
              <w:rPr>
                <w:b/>
                <w:sz w:val="22"/>
                <w:szCs w:val="22"/>
              </w:rPr>
              <w:t>Timescale</w:t>
            </w:r>
          </w:p>
        </w:tc>
      </w:tr>
      <w:tr w:rsidR="001411AE" w:rsidRPr="00A45D29" w:rsidTr="004901C3">
        <w:tc>
          <w:tcPr>
            <w:tcW w:w="1463" w:type="pct"/>
          </w:tcPr>
          <w:p w:rsidR="001411AE" w:rsidRPr="00A45D29" w:rsidRDefault="001411AE" w:rsidP="00CE3146">
            <w:pPr>
              <w:jc w:val="left"/>
              <w:rPr>
                <w:sz w:val="22"/>
                <w:szCs w:val="22"/>
              </w:rPr>
            </w:pPr>
            <w:r w:rsidRPr="00A45D29">
              <w:rPr>
                <w:sz w:val="22"/>
                <w:szCs w:val="22"/>
              </w:rPr>
              <w:t xml:space="preserve">Review and ensure  compliance with the new TPR Code of Practice for Public Sector Pension Schemes  </w:t>
            </w:r>
          </w:p>
        </w:tc>
        <w:tc>
          <w:tcPr>
            <w:tcW w:w="1112" w:type="pct"/>
          </w:tcPr>
          <w:p w:rsidR="001411AE" w:rsidRPr="00A45D29" w:rsidRDefault="00002024" w:rsidP="00CE3146">
            <w:pPr>
              <w:jc w:val="left"/>
              <w:rPr>
                <w:sz w:val="22"/>
                <w:szCs w:val="22"/>
              </w:rPr>
            </w:pPr>
            <w:r>
              <w:rPr>
                <w:sz w:val="22"/>
                <w:szCs w:val="22"/>
              </w:rPr>
              <w:t>Undertake gap</w:t>
            </w:r>
            <w:r w:rsidR="001411AE" w:rsidRPr="00A45D29">
              <w:rPr>
                <w:sz w:val="22"/>
                <w:szCs w:val="22"/>
              </w:rPr>
              <w:t xml:space="preserve"> analysis </w:t>
            </w:r>
          </w:p>
          <w:p w:rsidR="001411AE" w:rsidRPr="00A45D29" w:rsidRDefault="001411AE" w:rsidP="00CE3146">
            <w:pPr>
              <w:jc w:val="left"/>
              <w:rPr>
                <w:sz w:val="22"/>
                <w:szCs w:val="22"/>
              </w:rPr>
            </w:pPr>
            <w:r w:rsidRPr="00A45D29">
              <w:rPr>
                <w:sz w:val="22"/>
                <w:szCs w:val="22"/>
              </w:rPr>
              <w:t xml:space="preserve">Act on results  </w:t>
            </w:r>
          </w:p>
        </w:tc>
        <w:tc>
          <w:tcPr>
            <w:tcW w:w="1415" w:type="pct"/>
          </w:tcPr>
          <w:p w:rsidR="001411AE" w:rsidRPr="00A45D29" w:rsidRDefault="001411AE" w:rsidP="00CE3146">
            <w:pPr>
              <w:jc w:val="left"/>
              <w:rPr>
                <w:sz w:val="22"/>
                <w:szCs w:val="22"/>
              </w:rPr>
            </w:pPr>
            <w:r w:rsidRPr="00A45D29">
              <w:rPr>
                <w:sz w:val="22"/>
                <w:szCs w:val="22"/>
              </w:rPr>
              <w:t>Via a public statement of compliance. Target 100% compliance with the relevant regulations.</w:t>
            </w:r>
          </w:p>
          <w:p w:rsidR="001411AE" w:rsidRPr="00A45D29" w:rsidRDefault="001411AE" w:rsidP="00CE3146">
            <w:pPr>
              <w:jc w:val="left"/>
              <w:rPr>
                <w:sz w:val="22"/>
                <w:szCs w:val="22"/>
              </w:rPr>
            </w:pPr>
            <w:r w:rsidRPr="00A45D29">
              <w:rPr>
                <w:sz w:val="22"/>
                <w:szCs w:val="22"/>
              </w:rPr>
              <w:lastRenderedPageBreak/>
              <w:t xml:space="preserve">No reported breaches of law   </w:t>
            </w:r>
          </w:p>
        </w:tc>
        <w:tc>
          <w:tcPr>
            <w:tcW w:w="1010" w:type="pct"/>
          </w:tcPr>
          <w:p w:rsidR="001411AE" w:rsidRPr="00A45D29" w:rsidRDefault="001411AE" w:rsidP="00CE3146">
            <w:pPr>
              <w:rPr>
                <w:sz w:val="22"/>
                <w:szCs w:val="22"/>
              </w:rPr>
            </w:pPr>
            <w:r w:rsidRPr="00A45D29">
              <w:rPr>
                <w:sz w:val="22"/>
                <w:szCs w:val="22"/>
              </w:rPr>
              <w:lastRenderedPageBreak/>
              <w:t xml:space="preserve">31 March 2016 </w:t>
            </w:r>
          </w:p>
        </w:tc>
      </w:tr>
      <w:tr w:rsidR="001411AE" w:rsidRPr="00A45D29" w:rsidTr="004901C3">
        <w:tc>
          <w:tcPr>
            <w:tcW w:w="1463" w:type="pct"/>
          </w:tcPr>
          <w:p w:rsidR="001411AE" w:rsidRPr="00A45D29" w:rsidRDefault="001411AE" w:rsidP="00D31F65">
            <w:pPr>
              <w:jc w:val="left"/>
              <w:rPr>
                <w:sz w:val="22"/>
                <w:szCs w:val="22"/>
              </w:rPr>
            </w:pPr>
            <w:r w:rsidRPr="00A45D29">
              <w:rPr>
                <w:sz w:val="22"/>
                <w:szCs w:val="22"/>
              </w:rPr>
              <w:lastRenderedPageBreak/>
              <w:t>Develop and implement a member and employer self-service strateg</w:t>
            </w:r>
            <w:r w:rsidR="00D31F65">
              <w:rPr>
                <w:sz w:val="22"/>
                <w:szCs w:val="22"/>
              </w:rPr>
              <w:t>ies</w:t>
            </w:r>
          </w:p>
        </w:tc>
        <w:tc>
          <w:tcPr>
            <w:tcW w:w="1112" w:type="pct"/>
          </w:tcPr>
          <w:p w:rsidR="001411AE" w:rsidRPr="00A45D29" w:rsidRDefault="001411AE" w:rsidP="00CE3146">
            <w:pPr>
              <w:jc w:val="left"/>
              <w:rPr>
                <w:sz w:val="22"/>
                <w:szCs w:val="22"/>
              </w:rPr>
            </w:pPr>
            <w:r w:rsidRPr="00A45D29">
              <w:rPr>
                <w:sz w:val="22"/>
                <w:szCs w:val="22"/>
              </w:rPr>
              <w:t xml:space="preserve">Introduce email/online processes in all areas of casework </w:t>
            </w:r>
          </w:p>
          <w:p w:rsidR="001411AE" w:rsidRPr="00A45D29" w:rsidRDefault="001411AE" w:rsidP="00CE3146">
            <w:pPr>
              <w:jc w:val="left"/>
              <w:rPr>
                <w:sz w:val="22"/>
                <w:szCs w:val="22"/>
              </w:rPr>
            </w:pPr>
            <w:r w:rsidRPr="00A45D29">
              <w:rPr>
                <w:sz w:val="22"/>
                <w:szCs w:val="22"/>
              </w:rPr>
              <w:t xml:space="preserve">Develop website and employer e-solutions </w:t>
            </w:r>
          </w:p>
          <w:p w:rsidR="001411AE" w:rsidRPr="00A45D29" w:rsidRDefault="001411AE" w:rsidP="00CE3146">
            <w:pPr>
              <w:jc w:val="left"/>
              <w:rPr>
                <w:sz w:val="22"/>
                <w:szCs w:val="22"/>
              </w:rPr>
            </w:pPr>
            <w:r w:rsidRPr="00A45D29">
              <w:rPr>
                <w:sz w:val="22"/>
                <w:szCs w:val="22"/>
              </w:rPr>
              <w:t xml:space="preserve">Develop self-service functionality </w:t>
            </w:r>
            <w:r w:rsidR="00D31F65">
              <w:rPr>
                <w:sz w:val="22"/>
                <w:szCs w:val="22"/>
              </w:rPr>
              <w:t>within the Altair system</w:t>
            </w:r>
          </w:p>
        </w:tc>
        <w:tc>
          <w:tcPr>
            <w:tcW w:w="1415" w:type="pct"/>
          </w:tcPr>
          <w:p w:rsidR="001411AE" w:rsidRPr="00A45D29" w:rsidRDefault="001411AE" w:rsidP="00CE3146">
            <w:pPr>
              <w:jc w:val="left"/>
              <w:rPr>
                <w:sz w:val="22"/>
                <w:szCs w:val="22"/>
              </w:rPr>
            </w:pPr>
            <w:r w:rsidRPr="00A45D29">
              <w:rPr>
                <w:sz w:val="22"/>
                <w:szCs w:val="22"/>
              </w:rPr>
              <w:t xml:space="preserve">Demonstrable transference of transactional activity to the employer and to the member. Set targets to measure % shift   </w:t>
            </w:r>
          </w:p>
        </w:tc>
        <w:tc>
          <w:tcPr>
            <w:tcW w:w="1010" w:type="pct"/>
          </w:tcPr>
          <w:p w:rsidR="001411AE" w:rsidRPr="00A45D29" w:rsidRDefault="001411AE" w:rsidP="00CE3146">
            <w:pPr>
              <w:jc w:val="left"/>
              <w:rPr>
                <w:sz w:val="22"/>
                <w:szCs w:val="22"/>
              </w:rPr>
            </w:pPr>
            <w:r w:rsidRPr="00A45D29">
              <w:rPr>
                <w:sz w:val="22"/>
                <w:szCs w:val="22"/>
              </w:rPr>
              <w:t xml:space="preserve">31 March 2017   </w:t>
            </w:r>
          </w:p>
        </w:tc>
      </w:tr>
    </w:tbl>
    <w:p w:rsidR="00002024" w:rsidRDefault="00002024" w:rsidP="00A45D29">
      <w:pPr>
        <w:rPr>
          <w:sz w:val="22"/>
          <w:szCs w:val="22"/>
          <w:lang w:eastAsia="en-GB"/>
        </w:rPr>
      </w:pPr>
    </w:p>
    <w:p w:rsidR="00002024" w:rsidRDefault="00002024">
      <w:pPr>
        <w:autoSpaceDE/>
        <w:autoSpaceDN/>
        <w:adjustRightInd/>
        <w:spacing w:after="0"/>
        <w:jc w:val="left"/>
        <w:rPr>
          <w:sz w:val="22"/>
          <w:szCs w:val="22"/>
          <w:lang w:eastAsia="en-GB"/>
        </w:rPr>
      </w:pPr>
      <w:r>
        <w:rPr>
          <w:sz w:val="22"/>
          <w:szCs w:val="22"/>
          <w:lang w:eastAsia="en-GB"/>
        </w:rPr>
        <w:br w:type="page"/>
      </w:r>
    </w:p>
    <w:tbl>
      <w:tblPr>
        <w:tblStyle w:val="TableGrid"/>
        <w:tblW w:w="5000" w:type="pct"/>
        <w:tblLook w:val="04A0" w:firstRow="1" w:lastRow="0" w:firstColumn="1" w:lastColumn="0" w:noHBand="0" w:noVBand="1"/>
      </w:tblPr>
      <w:tblGrid>
        <w:gridCol w:w="2768"/>
        <w:gridCol w:w="2103"/>
        <w:gridCol w:w="2676"/>
        <w:gridCol w:w="1910"/>
      </w:tblGrid>
      <w:tr w:rsidR="00A45D29" w:rsidRPr="00A45D29" w:rsidTr="004901C3">
        <w:tc>
          <w:tcPr>
            <w:tcW w:w="1463" w:type="pct"/>
          </w:tcPr>
          <w:p w:rsidR="00A45D29" w:rsidRPr="00A45D29" w:rsidRDefault="00A45D29" w:rsidP="00CE3146">
            <w:pPr>
              <w:rPr>
                <w:b/>
                <w:sz w:val="22"/>
                <w:szCs w:val="22"/>
              </w:rPr>
            </w:pPr>
            <w:r w:rsidRPr="00A45D29">
              <w:rPr>
                <w:b/>
                <w:sz w:val="22"/>
                <w:szCs w:val="22"/>
              </w:rPr>
              <w:lastRenderedPageBreak/>
              <w:t>Action</w:t>
            </w:r>
          </w:p>
        </w:tc>
        <w:tc>
          <w:tcPr>
            <w:tcW w:w="1112" w:type="pct"/>
          </w:tcPr>
          <w:p w:rsidR="00A45D29" w:rsidRPr="00A45D29" w:rsidRDefault="00A45D29" w:rsidP="00CE3146">
            <w:pPr>
              <w:jc w:val="left"/>
              <w:rPr>
                <w:b/>
                <w:sz w:val="22"/>
                <w:szCs w:val="22"/>
              </w:rPr>
            </w:pPr>
            <w:r w:rsidRPr="00A45D29">
              <w:rPr>
                <w:b/>
                <w:sz w:val="22"/>
                <w:szCs w:val="22"/>
              </w:rPr>
              <w:t>How will this be achieved?</w:t>
            </w:r>
          </w:p>
        </w:tc>
        <w:tc>
          <w:tcPr>
            <w:tcW w:w="1415" w:type="pct"/>
          </w:tcPr>
          <w:p w:rsidR="00A45D29" w:rsidRPr="00A45D29" w:rsidRDefault="00A45D29" w:rsidP="00CE3146">
            <w:pPr>
              <w:jc w:val="left"/>
              <w:rPr>
                <w:b/>
                <w:sz w:val="22"/>
                <w:szCs w:val="22"/>
              </w:rPr>
            </w:pPr>
            <w:r w:rsidRPr="00A45D29">
              <w:rPr>
                <w:b/>
                <w:sz w:val="22"/>
                <w:szCs w:val="22"/>
              </w:rPr>
              <w:t>How will success be measured?</w:t>
            </w:r>
          </w:p>
        </w:tc>
        <w:tc>
          <w:tcPr>
            <w:tcW w:w="1010" w:type="pct"/>
          </w:tcPr>
          <w:p w:rsidR="00A45D29" w:rsidRPr="00A45D29" w:rsidRDefault="00A45D29" w:rsidP="00CE3146">
            <w:pPr>
              <w:jc w:val="left"/>
              <w:rPr>
                <w:b/>
                <w:sz w:val="22"/>
                <w:szCs w:val="22"/>
              </w:rPr>
            </w:pPr>
            <w:r w:rsidRPr="00A45D29">
              <w:rPr>
                <w:b/>
                <w:sz w:val="22"/>
                <w:szCs w:val="22"/>
              </w:rPr>
              <w:t>Timescale</w:t>
            </w:r>
          </w:p>
        </w:tc>
      </w:tr>
      <w:tr w:rsidR="001411AE" w:rsidRPr="00A45D29" w:rsidTr="004901C3">
        <w:tc>
          <w:tcPr>
            <w:tcW w:w="1463" w:type="pct"/>
          </w:tcPr>
          <w:p w:rsidR="001411AE" w:rsidRPr="00A45D29" w:rsidRDefault="001411AE" w:rsidP="00CE3146">
            <w:pPr>
              <w:jc w:val="left"/>
              <w:rPr>
                <w:sz w:val="22"/>
                <w:szCs w:val="22"/>
              </w:rPr>
            </w:pPr>
            <w:r w:rsidRPr="00A45D29">
              <w:rPr>
                <w:sz w:val="22"/>
                <w:szCs w:val="22"/>
              </w:rPr>
              <w:t xml:space="preserve">Consider collaborative opportunities and work towards building capacity for the future  </w:t>
            </w:r>
          </w:p>
        </w:tc>
        <w:tc>
          <w:tcPr>
            <w:tcW w:w="1112" w:type="pct"/>
          </w:tcPr>
          <w:p w:rsidR="001411AE" w:rsidRPr="00A45D29" w:rsidRDefault="001411AE" w:rsidP="00CE3146">
            <w:pPr>
              <w:jc w:val="left"/>
              <w:rPr>
                <w:sz w:val="22"/>
                <w:szCs w:val="22"/>
              </w:rPr>
            </w:pPr>
            <w:r w:rsidRPr="00A45D29">
              <w:rPr>
                <w:sz w:val="22"/>
                <w:szCs w:val="22"/>
              </w:rPr>
              <w:t xml:space="preserve">Work in partnership with  likeminded Authorities </w:t>
            </w:r>
          </w:p>
          <w:p w:rsidR="001411AE" w:rsidRPr="00A45D29" w:rsidRDefault="001411AE" w:rsidP="00CE3146">
            <w:pPr>
              <w:jc w:val="left"/>
              <w:rPr>
                <w:sz w:val="22"/>
                <w:szCs w:val="22"/>
              </w:rPr>
            </w:pPr>
            <w:r w:rsidRPr="00A45D29">
              <w:rPr>
                <w:sz w:val="22"/>
                <w:szCs w:val="22"/>
              </w:rPr>
              <w:t xml:space="preserve">Attract new business  </w:t>
            </w:r>
          </w:p>
        </w:tc>
        <w:tc>
          <w:tcPr>
            <w:tcW w:w="1415" w:type="pct"/>
          </w:tcPr>
          <w:p w:rsidR="001411AE" w:rsidRPr="00A45D29" w:rsidRDefault="001411AE" w:rsidP="00CE3146">
            <w:pPr>
              <w:jc w:val="left"/>
              <w:rPr>
                <w:sz w:val="22"/>
                <w:szCs w:val="22"/>
              </w:rPr>
            </w:pPr>
            <w:r w:rsidRPr="00A45D29">
              <w:rPr>
                <w:sz w:val="22"/>
                <w:szCs w:val="22"/>
              </w:rPr>
              <w:t xml:space="preserve">Organisational structure and capacity in place </w:t>
            </w:r>
          </w:p>
          <w:p w:rsidR="001411AE" w:rsidRPr="00A45D29" w:rsidRDefault="001411AE" w:rsidP="00CE3146">
            <w:pPr>
              <w:jc w:val="left"/>
              <w:rPr>
                <w:sz w:val="22"/>
                <w:szCs w:val="22"/>
              </w:rPr>
            </w:pPr>
            <w:r w:rsidRPr="00A45D29">
              <w:rPr>
                <w:sz w:val="22"/>
                <w:szCs w:val="22"/>
              </w:rPr>
              <w:t xml:space="preserve">New business secured </w:t>
            </w:r>
          </w:p>
        </w:tc>
        <w:tc>
          <w:tcPr>
            <w:tcW w:w="1010" w:type="pct"/>
          </w:tcPr>
          <w:p w:rsidR="001411AE" w:rsidRPr="00A45D29" w:rsidRDefault="001411AE" w:rsidP="00CE3146">
            <w:pPr>
              <w:rPr>
                <w:sz w:val="22"/>
                <w:szCs w:val="22"/>
              </w:rPr>
            </w:pPr>
            <w:r w:rsidRPr="00A45D29">
              <w:rPr>
                <w:sz w:val="22"/>
                <w:szCs w:val="22"/>
              </w:rPr>
              <w:t>31 December 2016</w:t>
            </w:r>
          </w:p>
        </w:tc>
      </w:tr>
      <w:tr w:rsidR="001411AE" w:rsidRPr="00A45D29" w:rsidTr="004901C3">
        <w:tc>
          <w:tcPr>
            <w:tcW w:w="1463" w:type="pct"/>
          </w:tcPr>
          <w:p w:rsidR="001411AE" w:rsidRPr="00A45D29" w:rsidRDefault="001411AE" w:rsidP="00CE3146">
            <w:pPr>
              <w:jc w:val="left"/>
              <w:rPr>
                <w:sz w:val="22"/>
                <w:szCs w:val="22"/>
              </w:rPr>
            </w:pPr>
            <w:r w:rsidRPr="00A45D29">
              <w:rPr>
                <w:sz w:val="22"/>
                <w:szCs w:val="22"/>
              </w:rPr>
              <w:t xml:space="preserve">Review employer compliance with Pension Administration Strategy Statement </w:t>
            </w:r>
          </w:p>
        </w:tc>
        <w:tc>
          <w:tcPr>
            <w:tcW w:w="1112" w:type="pct"/>
          </w:tcPr>
          <w:p w:rsidR="001411AE" w:rsidRPr="00A45D29" w:rsidRDefault="001411AE" w:rsidP="00D31F65">
            <w:pPr>
              <w:jc w:val="left"/>
              <w:rPr>
                <w:sz w:val="22"/>
                <w:szCs w:val="22"/>
              </w:rPr>
            </w:pPr>
            <w:r w:rsidRPr="00A45D29">
              <w:rPr>
                <w:sz w:val="22"/>
                <w:szCs w:val="22"/>
              </w:rPr>
              <w:t>Implement monitor</w:t>
            </w:r>
            <w:r w:rsidR="00D31F65">
              <w:rPr>
                <w:sz w:val="22"/>
                <w:szCs w:val="22"/>
              </w:rPr>
              <w:t>ing process. Measure and report</w:t>
            </w:r>
            <w:r w:rsidRPr="00A45D29">
              <w:rPr>
                <w:sz w:val="22"/>
                <w:szCs w:val="22"/>
              </w:rPr>
              <w:t xml:space="preserve"> results</w:t>
            </w:r>
            <w:r w:rsidR="00D31F65">
              <w:rPr>
                <w:sz w:val="22"/>
                <w:szCs w:val="22"/>
              </w:rPr>
              <w:t xml:space="preserve"> to PFC</w:t>
            </w:r>
            <w:r w:rsidRPr="00A45D29">
              <w:rPr>
                <w:sz w:val="22"/>
                <w:szCs w:val="22"/>
              </w:rPr>
              <w:t xml:space="preserve">   </w:t>
            </w:r>
          </w:p>
        </w:tc>
        <w:tc>
          <w:tcPr>
            <w:tcW w:w="1415" w:type="pct"/>
          </w:tcPr>
          <w:p w:rsidR="001411AE" w:rsidRPr="00A45D29" w:rsidRDefault="001411AE" w:rsidP="00CE3146">
            <w:pPr>
              <w:rPr>
                <w:sz w:val="22"/>
                <w:szCs w:val="22"/>
              </w:rPr>
            </w:pPr>
            <w:r w:rsidRPr="00A45D29">
              <w:rPr>
                <w:sz w:val="22"/>
                <w:szCs w:val="22"/>
              </w:rPr>
              <w:t xml:space="preserve">% Employer compliance   </w:t>
            </w:r>
          </w:p>
        </w:tc>
        <w:tc>
          <w:tcPr>
            <w:tcW w:w="1010" w:type="pct"/>
          </w:tcPr>
          <w:p w:rsidR="001411AE" w:rsidRPr="00A45D29" w:rsidRDefault="001411AE" w:rsidP="00CE3146">
            <w:pPr>
              <w:rPr>
                <w:sz w:val="22"/>
                <w:szCs w:val="22"/>
              </w:rPr>
            </w:pPr>
            <w:r w:rsidRPr="00A45D29">
              <w:rPr>
                <w:sz w:val="22"/>
                <w:szCs w:val="22"/>
              </w:rPr>
              <w:t>31 December 2015</w:t>
            </w:r>
          </w:p>
        </w:tc>
      </w:tr>
      <w:tr w:rsidR="001411AE" w:rsidRPr="00A45D29" w:rsidTr="004901C3">
        <w:tc>
          <w:tcPr>
            <w:tcW w:w="1463" w:type="pct"/>
          </w:tcPr>
          <w:p w:rsidR="001411AE" w:rsidRPr="00A45D29" w:rsidRDefault="001411AE" w:rsidP="00CE3146">
            <w:pPr>
              <w:rPr>
                <w:sz w:val="22"/>
                <w:szCs w:val="22"/>
              </w:rPr>
            </w:pPr>
            <w:r w:rsidRPr="00A45D29">
              <w:rPr>
                <w:sz w:val="22"/>
                <w:szCs w:val="22"/>
              </w:rPr>
              <w:t>Undertake systematic analysis of appeals</w:t>
            </w:r>
          </w:p>
        </w:tc>
        <w:tc>
          <w:tcPr>
            <w:tcW w:w="1112" w:type="pct"/>
          </w:tcPr>
          <w:p w:rsidR="001411AE" w:rsidRPr="00A45D29" w:rsidRDefault="001411AE" w:rsidP="00CE3146">
            <w:pPr>
              <w:jc w:val="left"/>
              <w:rPr>
                <w:sz w:val="22"/>
                <w:szCs w:val="22"/>
              </w:rPr>
            </w:pPr>
            <w:r w:rsidRPr="00A45D29">
              <w:rPr>
                <w:sz w:val="22"/>
                <w:szCs w:val="22"/>
              </w:rPr>
              <w:t>Implement case review process</w:t>
            </w:r>
          </w:p>
        </w:tc>
        <w:tc>
          <w:tcPr>
            <w:tcW w:w="1415" w:type="pct"/>
          </w:tcPr>
          <w:p w:rsidR="001411AE" w:rsidRPr="00A45D29" w:rsidRDefault="001411AE" w:rsidP="00CE3146">
            <w:pPr>
              <w:jc w:val="left"/>
              <w:rPr>
                <w:sz w:val="22"/>
                <w:szCs w:val="22"/>
              </w:rPr>
            </w:pPr>
            <w:r w:rsidRPr="00A45D29">
              <w:rPr>
                <w:sz w:val="22"/>
                <w:szCs w:val="22"/>
              </w:rPr>
              <w:t>Year on year reduction in 1</w:t>
            </w:r>
            <w:r w:rsidRPr="00A45D29">
              <w:rPr>
                <w:sz w:val="22"/>
                <w:szCs w:val="22"/>
                <w:vertAlign w:val="superscript"/>
              </w:rPr>
              <w:t>st</w:t>
            </w:r>
            <w:r w:rsidRPr="00A45D29">
              <w:rPr>
                <w:sz w:val="22"/>
                <w:szCs w:val="22"/>
              </w:rPr>
              <w:t xml:space="preserve"> and 2</w:t>
            </w:r>
            <w:r w:rsidRPr="00A45D29">
              <w:rPr>
                <w:sz w:val="22"/>
                <w:szCs w:val="22"/>
                <w:vertAlign w:val="superscript"/>
              </w:rPr>
              <w:t>nd</w:t>
            </w:r>
            <w:r w:rsidRPr="00A45D29">
              <w:rPr>
                <w:sz w:val="22"/>
                <w:szCs w:val="22"/>
              </w:rPr>
              <w:t xml:space="preserve"> stage appeals  </w:t>
            </w:r>
          </w:p>
        </w:tc>
        <w:tc>
          <w:tcPr>
            <w:tcW w:w="1010" w:type="pct"/>
          </w:tcPr>
          <w:p w:rsidR="001411AE" w:rsidRPr="00A45D29" w:rsidRDefault="001411AE" w:rsidP="00CE3146">
            <w:pPr>
              <w:rPr>
                <w:sz w:val="22"/>
                <w:szCs w:val="22"/>
              </w:rPr>
            </w:pPr>
            <w:r w:rsidRPr="00A45D29">
              <w:rPr>
                <w:sz w:val="22"/>
                <w:szCs w:val="22"/>
              </w:rPr>
              <w:t>1 April 2017</w:t>
            </w:r>
          </w:p>
        </w:tc>
      </w:tr>
      <w:tr w:rsidR="001411AE" w:rsidRPr="00A45D29" w:rsidTr="004901C3">
        <w:tc>
          <w:tcPr>
            <w:tcW w:w="1463" w:type="pct"/>
          </w:tcPr>
          <w:p w:rsidR="001411AE" w:rsidRPr="00A45D29" w:rsidRDefault="001411AE" w:rsidP="00CE3146">
            <w:pPr>
              <w:jc w:val="left"/>
              <w:rPr>
                <w:sz w:val="22"/>
                <w:szCs w:val="22"/>
              </w:rPr>
            </w:pPr>
            <w:r w:rsidRPr="00A45D29">
              <w:rPr>
                <w:sz w:val="22"/>
                <w:szCs w:val="22"/>
              </w:rPr>
              <w:t xml:space="preserve">Review basic financial control processes surrounding pension fund administration and pensioner payroll.     </w:t>
            </w:r>
          </w:p>
        </w:tc>
        <w:tc>
          <w:tcPr>
            <w:tcW w:w="1112" w:type="pct"/>
          </w:tcPr>
          <w:p w:rsidR="001411AE" w:rsidRPr="00A45D29" w:rsidRDefault="00002024" w:rsidP="00CE3146">
            <w:pPr>
              <w:jc w:val="left"/>
              <w:rPr>
                <w:sz w:val="22"/>
                <w:szCs w:val="22"/>
              </w:rPr>
            </w:pPr>
            <w:r>
              <w:rPr>
                <w:sz w:val="22"/>
                <w:szCs w:val="22"/>
              </w:rPr>
              <w:t>Undertake gap</w:t>
            </w:r>
            <w:r w:rsidR="001411AE" w:rsidRPr="00A45D29">
              <w:rPr>
                <w:sz w:val="22"/>
                <w:szCs w:val="22"/>
              </w:rPr>
              <w:t xml:space="preserve"> analysis</w:t>
            </w:r>
          </w:p>
          <w:p w:rsidR="001411AE" w:rsidRPr="00A45D29" w:rsidRDefault="001411AE" w:rsidP="00CE3146">
            <w:pPr>
              <w:jc w:val="left"/>
              <w:rPr>
                <w:sz w:val="22"/>
                <w:szCs w:val="22"/>
              </w:rPr>
            </w:pPr>
            <w:r w:rsidRPr="00A45D29">
              <w:rPr>
                <w:sz w:val="22"/>
                <w:szCs w:val="22"/>
              </w:rPr>
              <w:t xml:space="preserve">Act on results   </w:t>
            </w:r>
          </w:p>
        </w:tc>
        <w:tc>
          <w:tcPr>
            <w:tcW w:w="1415" w:type="pct"/>
          </w:tcPr>
          <w:p w:rsidR="001411AE" w:rsidRPr="00A45D29" w:rsidRDefault="001411AE" w:rsidP="00CE3146">
            <w:pPr>
              <w:jc w:val="left"/>
              <w:rPr>
                <w:sz w:val="22"/>
                <w:szCs w:val="22"/>
              </w:rPr>
            </w:pPr>
            <w:r w:rsidRPr="00A45D29">
              <w:rPr>
                <w:sz w:val="22"/>
                <w:szCs w:val="22"/>
              </w:rPr>
              <w:t xml:space="preserve">Full Assurance from internal and external auditors.   </w:t>
            </w:r>
          </w:p>
        </w:tc>
        <w:tc>
          <w:tcPr>
            <w:tcW w:w="1010" w:type="pct"/>
          </w:tcPr>
          <w:p w:rsidR="001411AE" w:rsidRPr="00A45D29" w:rsidRDefault="001411AE" w:rsidP="00CE3146">
            <w:pPr>
              <w:rPr>
                <w:sz w:val="22"/>
                <w:szCs w:val="22"/>
              </w:rPr>
            </w:pPr>
            <w:r w:rsidRPr="00A45D29">
              <w:rPr>
                <w:sz w:val="22"/>
                <w:szCs w:val="22"/>
              </w:rPr>
              <w:t xml:space="preserve">1 April 2016 </w:t>
            </w:r>
          </w:p>
        </w:tc>
      </w:tr>
    </w:tbl>
    <w:p w:rsidR="001411AE" w:rsidRPr="00A45D29" w:rsidRDefault="001411AE" w:rsidP="001411AE">
      <w:pPr>
        <w:rPr>
          <w:sz w:val="22"/>
          <w:szCs w:val="22"/>
          <w:lang w:eastAsia="en-GB"/>
        </w:rPr>
      </w:pPr>
    </w:p>
    <w:p w:rsidR="001411AE" w:rsidRDefault="001411AE" w:rsidP="001411AE"/>
    <w:p w:rsidR="001411AE" w:rsidRDefault="001411AE" w:rsidP="00195504">
      <w:pPr>
        <w:rPr>
          <w:b/>
          <w:sz w:val="32"/>
          <w:szCs w:val="32"/>
          <w:lang w:eastAsia="en-GB"/>
        </w:rPr>
        <w:sectPr w:rsidR="001411AE" w:rsidSect="004901C3">
          <w:pgSz w:w="11900" w:h="16840" w:code="9"/>
          <w:pgMar w:top="1440" w:right="993" w:bottom="851" w:left="1440" w:header="567" w:footer="567" w:gutter="0"/>
          <w:cols w:space="292"/>
          <w:docGrid w:linePitch="326"/>
        </w:sectPr>
      </w:pPr>
    </w:p>
    <w:p w:rsidR="007D705A" w:rsidRPr="00486913" w:rsidRDefault="007D705A" w:rsidP="007D705A">
      <w:pPr>
        <w:rPr>
          <w:b/>
          <w:sz w:val="28"/>
          <w:szCs w:val="28"/>
          <w:lang w:eastAsia="en-GB"/>
        </w:rPr>
      </w:pPr>
      <w:r>
        <w:rPr>
          <w:b/>
          <w:sz w:val="32"/>
          <w:szCs w:val="32"/>
          <w:lang w:eastAsia="en-GB"/>
        </w:rPr>
        <w:lastRenderedPageBreak/>
        <w:t>Communication</w:t>
      </w:r>
    </w:p>
    <w:p w:rsidR="007D705A" w:rsidRPr="00486913" w:rsidRDefault="007D705A" w:rsidP="007D705A">
      <w:pPr>
        <w:rPr>
          <w:sz w:val="28"/>
          <w:szCs w:val="28"/>
          <w:lang w:eastAsia="en-GB"/>
        </w:rPr>
      </w:pPr>
      <w:r w:rsidRPr="00486913">
        <w:rPr>
          <w:b/>
          <w:sz w:val="28"/>
          <w:szCs w:val="28"/>
          <w:lang w:eastAsia="en-GB"/>
        </w:rPr>
        <w:t>Lead officer – Diane Lister</w:t>
      </w:r>
      <w:r w:rsidR="00486913" w:rsidRPr="00486913">
        <w:rPr>
          <w:b/>
          <w:sz w:val="28"/>
          <w:szCs w:val="28"/>
          <w:lang w:eastAsia="en-GB"/>
        </w:rPr>
        <w:t xml:space="preserve"> Head of Your Pension Service</w:t>
      </w:r>
    </w:p>
    <w:p w:rsidR="001411AE" w:rsidRPr="00215F29" w:rsidRDefault="007D705A" w:rsidP="001411AE">
      <w:pPr>
        <w:rPr>
          <w:rFonts w:cs="Arial"/>
          <w:lang w:eastAsia="en-GB"/>
        </w:rPr>
      </w:pPr>
      <w:r>
        <w:rPr>
          <w:rFonts w:cs="Arial"/>
          <w:lang w:eastAsia="en-GB"/>
        </w:rPr>
        <w:t>C</w:t>
      </w:r>
      <w:r w:rsidR="001411AE" w:rsidRPr="00215F29">
        <w:rPr>
          <w:rFonts w:cs="Arial"/>
          <w:lang w:eastAsia="en-GB"/>
        </w:rPr>
        <w:t xml:space="preserve">ommunication is the process by which we ensure that Fund members and employers are aware of their </w:t>
      </w:r>
      <w:r w:rsidR="001411AE">
        <w:rPr>
          <w:rFonts w:cs="Arial"/>
          <w:lang w:eastAsia="en-GB"/>
        </w:rPr>
        <w:t xml:space="preserve">benefits and of their </w:t>
      </w:r>
      <w:r w:rsidR="001411AE" w:rsidRPr="00215F29">
        <w:rPr>
          <w:rFonts w:cs="Arial"/>
          <w:lang w:eastAsia="en-GB"/>
        </w:rPr>
        <w:t>responsibilities</w:t>
      </w:r>
      <w:r w:rsidR="001411AE">
        <w:rPr>
          <w:rFonts w:cs="Arial"/>
          <w:lang w:eastAsia="en-GB"/>
        </w:rPr>
        <w:t>;</w:t>
      </w:r>
      <w:r w:rsidR="001411AE" w:rsidRPr="00215F29">
        <w:rPr>
          <w:rFonts w:cs="Arial"/>
          <w:lang w:eastAsia="en-GB"/>
        </w:rPr>
        <w:t xml:space="preserve"> and of the overall performance of the Fund. It is also the process by which we promote the benefits of the Fund.</w:t>
      </w:r>
    </w:p>
    <w:p w:rsidR="001411AE" w:rsidRPr="00215F29" w:rsidRDefault="001411AE" w:rsidP="001411AE">
      <w:pPr>
        <w:rPr>
          <w:rFonts w:cs="Arial"/>
          <w:lang w:eastAsia="en-GB"/>
        </w:rPr>
      </w:pPr>
    </w:p>
    <w:p w:rsidR="001411AE" w:rsidRPr="00215F29" w:rsidRDefault="001411AE" w:rsidP="001411AE">
      <w:pPr>
        <w:rPr>
          <w:rFonts w:cs="Arial"/>
          <w:lang w:eastAsia="en-GB"/>
        </w:rPr>
      </w:pPr>
      <w:r w:rsidRPr="00215F29">
        <w:rPr>
          <w:rFonts w:cs="Arial"/>
          <w:lang w:eastAsia="en-GB"/>
        </w:rPr>
        <w:t>Our objectives in this area are:</w:t>
      </w:r>
    </w:p>
    <w:p w:rsidR="001411AE" w:rsidRPr="00C63DE4" w:rsidRDefault="001411AE" w:rsidP="001411AE">
      <w:pPr>
        <w:pStyle w:val="ListParagraph"/>
        <w:numPr>
          <w:ilvl w:val="0"/>
          <w:numId w:val="10"/>
        </w:numPr>
        <w:spacing w:after="0"/>
        <w:jc w:val="left"/>
        <w:rPr>
          <w:rFonts w:eastAsiaTheme="minorHAnsi" w:cs="Arial"/>
          <w:color w:val="auto"/>
        </w:rPr>
      </w:pPr>
      <w:r w:rsidRPr="00215F29">
        <w:rPr>
          <w:rFonts w:eastAsiaTheme="minorHAnsi" w:cs="Arial"/>
          <w:color w:val="auto"/>
        </w:rPr>
        <w:t>To provi</w:t>
      </w:r>
      <w:r>
        <w:rPr>
          <w:rFonts w:eastAsiaTheme="minorHAnsi" w:cs="Arial"/>
          <w:color w:val="auto"/>
        </w:rPr>
        <w:t xml:space="preserve">de </w:t>
      </w:r>
      <w:r w:rsidRPr="00215F29">
        <w:rPr>
          <w:rFonts w:eastAsiaTheme="minorHAnsi" w:cs="Arial"/>
          <w:color w:val="auto"/>
        </w:rPr>
        <w:t>good pension information</w:t>
      </w:r>
      <w:r>
        <w:rPr>
          <w:rFonts w:eastAsiaTheme="minorHAnsi" w:cs="Arial"/>
          <w:color w:val="auto"/>
        </w:rPr>
        <w:t xml:space="preserve">, </w:t>
      </w:r>
      <w:r w:rsidRPr="00215F29">
        <w:rPr>
          <w:rFonts w:eastAsiaTheme="minorHAnsi" w:cs="Arial"/>
          <w:color w:val="auto"/>
        </w:rPr>
        <w:t>promot</w:t>
      </w:r>
      <w:r>
        <w:rPr>
          <w:rFonts w:eastAsiaTheme="minorHAnsi" w:cs="Arial"/>
          <w:color w:val="auto"/>
        </w:rPr>
        <w:t xml:space="preserve">ing </w:t>
      </w:r>
      <w:r w:rsidRPr="00C63DE4">
        <w:rPr>
          <w:rFonts w:eastAsiaTheme="minorHAnsi" w:cs="Arial"/>
          <w:color w:val="auto"/>
        </w:rPr>
        <w:t xml:space="preserve">pensions in the workplace and </w:t>
      </w:r>
      <w:r>
        <w:rPr>
          <w:rFonts w:eastAsiaTheme="minorHAnsi" w:cs="Arial"/>
          <w:color w:val="auto"/>
        </w:rPr>
        <w:t xml:space="preserve">to </w:t>
      </w:r>
      <w:r w:rsidRPr="00C63DE4">
        <w:rPr>
          <w:rFonts w:eastAsiaTheme="minorHAnsi" w:cs="Arial"/>
          <w:color w:val="auto"/>
        </w:rPr>
        <w:t>actively promot</w:t>
      </w:r>
      <w:r>
        <w:rPr>
          <w:rFonts w:eastAsiaTheme="minorHAnsi" w:cs="Arial"/>
          <w:color w:val="auto"/>
        </w:rPr>
        <w:t xml:space="preserve">e </w:t>
      </w:r>
      <w:r w:rsidRPr="00C63DE4">
        <w:rPr>
          <w:rFonts w:eastAsiaTheme="minorHAnsi" w:cs="Arial"/>
          <w:color w:val="auto"/>
        </w:rPr>
        <w:t>the Scheme to prospective members and their employers.</w:t>
      </w:r>
    </w:p>
    <w:p w:rsidR="001411AE" w:rsidRPr="00A92679" w:rsidRDefault="001411AE" w:rsidP="001411AE">
      <w:pPr>
        <w:pStyle w:val="ListParagraph"/>
        <w:spacing w:after="0"/>
        <w:jc w:val="left"/>
        <w:rPr>
          <w:rFonts w:eastAsiaTheme="minorHAnsi" w:cs="Arial"/>
          <w:color w:val="auto"/>
        </w:rPr>
      </w:pPr>
    </w:p>
    <w:p w:rsidR="001411AE" w:rsidRDefault="001411AE" w:rsidP="001411AE">
      <w:pPr>
        <w:numPr>
          <w:ilvl w:val="0"/>
          <w:numId w:val="9"/>
        </w:numPr>
        <w:rPr>
          <w:rFonts w:cs="Arial"/>
          <w:lang w:eastAsia="en-GB"/>
        </w:rPr>
      </w:pPr>
      <w:r>
        <w:rPr>
          <w:rFonts w:eastAsiaTheme="minorHAnsi" w:cs="Arial"/>
          <w:color w:val="auto"/>
        </w:rPr>
        <w:t>To i</w:t>
      </w:r>
      <w:r w:rsidRPr="00215F29">
        <w:rPr>
          <w:rFonts w:eastAsiaTheme="minorHAnsi" w:cs="Arial"/>
          <w:color w:val="auto"/>
        </w:rPr>
        <w:t>ncrease transparency</w:t>
      </w:r>
      <w:r>
        <w:rPr>
          <w:rFonts w:eastAsiaTheme="minorHAnsi" w:cs="Arial"/>
          <w:color w:val="auto"/>
        </w:rPr>
        <w:t xml:space="preserve">; building </w:t>
      </w:r>
      <w:r w:rsidRPr="00215F29">
        <w:rPr>
          <w:rFonts w:eastAsiaTheme="minorHAnsi" w:cs="Arial"/>
          <w:color w:val="auto"/>
        </w:rPr>
        <w:t>trust, confidence and engagement in pension saving as the norm</w:t>
      </w:r>
      <w:r>
        <w:rPr>
          <w:rFonts w:eastAsiaTheme="minorHAnsi" w:cs="Arial"/>
          <w:color w:val="auto"/>
        </w:rPr>
        <w:t>, ensuring</w:t>
      </w:r>
      <w:r w:rsidRPr="00A92679">
        <w:rPr>
          <w:rFonts w:cs="Arial"/>
          <w:lang w:eastAsia="en-GB"/>
        </w:rPr>
        <w:t xml:space="preserve"> </w:t>
      </w:r>
      <w:r w:rsidRPr="00215F29">
        <w:rPr>
          <w:rFonts w:cs="Arial"/>
          <w:lang w:eastAsia="en-GB"/>
        </w:rPr>
        <w:t>that investment issues are communicated appropriately to the Fund's stakeholders</w:t>
      </w:r>
      <w:r>
        <w:rPr>
          <w:rFonts w:cs="Arial"/>
          <w:lang w:eastAsia="en-GB"/>
        </w:rPr>
        <w:t>.</w:t>
      </w:r>
    </w:p>
    <w:p w:rsidR="001411AE" w:rsidRDefault="001411AE" w:rsidP="001411AE">
      <w:pPr>
        <w:numPr>
          <w:ilvl w:val="0"/>
          <w:numId w:val="9"/>
        </w:numPr>
        <w:rPr>
          <w:rFonts w:cs="Arial"/>
          <w:lang w:eastAsia="en-GB"/>
        </w:rPr>
      </w:pPr>
      <w:r w:rsidRPr="00215F29">
        <w:rPr>
          <w:rFonts w:cs="Arial"/>
          <w:lang w:eastAsia="en-GB"/>
        </w:rPr>
        <w:t>To communicate in a friendly and direct way to all our stakeholders, treating them all equally, and aiming to achieve a full appreciation of the benefits of being a member of the Fund</w:t>
      </w:r>
    </w:p>
    <w:p w:rsidR="001411AE" w:rsidRPr="00215F29" w:rsidRDefault="001411AE" w:rsidP="001411AE">
      <w:pPr>
        <w:numPr>
          <w:ilvl w:val="0"/>
          <w:numId w:val="9"/>
        </w:numPr>
        <w:rPr>
          <w:rFonts w:cs="Arial"/>
          <w:lang w:eastAsia="en-GB"/>
        </w:rPr>
      </w:pPr>
      <w:r w:rsidRPr="00215F29">
        <w:rPr>
          <w:rFonts w:cs="Arial"/>
          <w:lang w:eastAsia="en-GB"/>
        </w:rPr>
        <w:t>To ensure that our communications are simple, relevant and have impact;</w:t>
      </w:r>
    </w:p>
    <w:p w:rsidR="001411AE" w:rsidRPr="00215F29" w:rsidRDefault="001411AE" w:rsidP="001411AE">
      <w:pPr>
        <w:pStyle w:val="ListParagraph"/>
        <w:numPr>
          <w:ilvl w:val="0"/>
          <w:numId w:val="9"/>
        </w:numPr>
        <w:spacing w:after="0"/>
        <w:jc w:val="left"/>
        <w:rPr>
          <w:rFonts w:eastAsiaTheme="minorHAnsi" w:cs="Arial"/>
          <w:color w:val="auto"/>
        </w:rPr>
      </w:pPr>
      <w:r>
        <w:rPr>
          <w:rFonts w:cs="Arial"/>
          <w:lang w:eastAsia="en-GB"/>
        </w:rPr>
        <w:t>To d</w:t>
      </w:r>
      <w:r w:rsidRPr="00215F29">
        <w:rPr>
          <w:rFonts w:cs="Arial"/>
          <w:lang w:eastAsia="en-GB"/>
        </w:rPr>
        <w:t xml:space="preserve">eliver information in a way that suits all </w:t>
      </w:r>
      <w:r>
        <w:rPr>
          <w:rFonts w:cs="Arial"/>
          <w:lang w:eastAsia="en-GB"/>
        </w:rPr>
        <w:t>stakeholders, i</w:t>
      </w:r>
      <w:r w:rsidRPr="00215F29">
        <w:rPr>
          <w:rFonts w:cs="Arial"/>
          <w:lang w:eastAsia="en-GB"/>
        </w:rPr>
        <w:t>ncreasingly taking advantage of advances in technology.</w:t>
      </w:r>
    </w:p>
    <w:p w:rsidR="001411AE" w:rsidRPr="00215F29" w:rsidRDefault="001411AE" w:rsidP="001411AE">
      <w:pPr>
        <w:spacing w:after="0"/>
        <w:ind w:firstLine="720"/>
        <w:rPr>
          <w:rFonts w:eastAsiaTheme="minorHAnsi" w:cs="Arial"/>
          <w:color w:val="auto"/>
        </w:rPr>
      </w:pPr>
    </w:p>
    <w:p w:rsidR="001411AE" w:rsidRPr="00215F29" w:rsidRDefault="001411AE" w:rsidP="001411AE">
      <w:pPr>
        <w:pStyle w:val="ListParagraph"/>
        <w:numPr>
          <w:ilvl w:val="0"/>
          <w:numId w:val="10"/>
        </w:numPr>
        <w:spacing w:after="0"/>
        <w:rPr>
          <w:rFonts w:eastAsiaTheme="minorHAnsi" w:cs="Arial"/>
          <w:color w:val="auto"/>
        </w:rPr>
      </w:pPr>
      <w:r>
        <w:rPr>
          <w:rFonts w:eastAsiaTheme="minorHAnsi" w:cs="Arial"/>
          <w:color w:val="auto"/>
        </w:rPr>
        <w:t>To t</w:t>
      </w:r>
      <w:r w:rsidRPr="00215F29">
        <w:rPr>
          <w:rFonts w:eastAsiaTheme="minorHAnsi" w:cs="Arial"/>
          <w:color w:val="auto"/>
        </w:rPr>
        <w:t>reat information security with the upmost importance.</w:t>
      </w:r>
    </w:p>
    <w:p w:rsidR="001411AE" w:rsidRDefault="001411AE" w:rsidP="001411AE">
      <w:pPr>
        <w:rPr>
          <w:rFonts w:cs="Arial"/>
          <w:lang w:eastAsia="en-GB"/>
        </w:rPr>
      </w:pPr>
    </w:p>
    <w:p w:rsidR="001411AE" w:rsidRPr="00215F29" w:rsidRDefault="001411AE" w:rsidP="001411AE">
      <w:pPr>
        <w:rPr>
          <w:rFonts w:cs="Arial"/>
          <w:lang w:eastAsia="en-GB"/>
        </w:rPr>
      </w:pPr>
      <w:r w:rsidRPr="00215F29">
        <w:rPr>
          <w:rFonts w:cs="Arial"/>
          <w:lang w:eastAsia="en-GB"/>
        </w:rPr>
        <w:t>Over the next three years we are aiming to undertake the following actions in this area:</w:t>
      </w:r>
    </w:p>
    <w:tbl>
      <w:tblPr>
        <w:tblStyle w:val="TableGrid"/>
        <w:tblW w:w="5000" w:type="pct"/>
        <w:tblLook w:val="04A0" w:firstRow="1" w:lastRow="0" w:firstColumn="1" w:lastColumn="0" w:noHBand="0" w:noVBand="1"/>
      </w:tblPr>
      <w:tblGrid>
        <w:gridCol w:w="2290"/>
        <w:gridCol w:w="3153"/>
        <w:gridCol w:w="2389"/>
        <w:gridCol w:w="1625"/>
      </w:tblGrid>
      <w:tr w:rsidR="001411AE" w:rsidRPr="00215F29" w:rsidTr="004901C3">
        <w:tc>
          <w:tcPr>
            <w:tcW w:w="1211" w:type="pct"/>
          </w:tcPr>
          <w:p w:rsidR="001411AE" w:rsidRPr="00A45D29" w:rsidRDefault="001411AE" w:rsidP="00CE3146">
            <w:pPr>
              <w:jc w:val="left"/>
              <w:rPr>
                <w:rFonts w:cs="Arial"/>
                <w:b/>
                <w:sz w:val="22"/>
                <w:szCs w:val="22"/>
              </w:rPr>
            </w:pPr>
            <w:r w:rsidRPr="00A45D29">
              <w:rPr>
                <w:rFonts w:cs="Arial"/>
                <w:b/>
                <w:sz w:val="22"/>
                <w:szCs w:val="22"/>
              </w:rPr>
              <w:lastRenderedPageBreak/>
              <w:t>Action</w:t>
            </w:r>
          </w:p>
        </w:tc>
        <w:tc>
          <w:tcPr>
            <w:tcW w:w="1667" w:type="pct"/>
          </w:tcPr>
          <w:p w:rsidR="001411AE" w:rsidRPr="00A45D29" w:rsidRDefault="001411AE" w:rsidP="00CE3146">
            <w:pPr>
              <w:jc w:val="left"/>
              <w:rPr>
                <w:rFonts w:cs="Arial"/>
                <w:b/>
                <w:sz w:val="22"/>
                <w:szCs w:val="22"/>
              </w:rPr>
            </w:pPr>
            <w:r w:rsidRPr="00A45D29">
              <w:rPr>
                <w:rFonts w:cs="Arial"/>
                <w:b/>
                <w:sz w:val="22"/>
                <w:szCs w:val="22"/>
              </w:rPr>
              <w:t>How will this be achieved?</w:t>
            </w:r>
          </w:p>
        </w:tc>
        <w:tc>
          <w:tcPr>
            <w:tcW w:w="1263" w:type="pct"/>
          </w:tcPr>
          <w:p w:rsidR="001411AE" w:rsidRPr="00A45D29" w:rsidRDefault="001411AE" w:rsidP="00CE3146">
            <w:pPr>
              <w:jc w:val="left"/>
              <w:rPr>
                <w:rFonts w:cs="Arial"/>
                <w:b/>
                <w:sz w:val="22"/>
                <w:szCs w:val="22"/>
              </w:rPr>
            </w:pPr>
            <w:r w:rsidRPr="00A45D29">
              <w:rPr>
                <w:rFonts w:cs="Arial"/>
                <w:b/>
                <w:sz w:val="22"/>
                <w:szCs w:val="22"/>
              </w:rPr>
              <w:t>How will success be measured?</w:t>
            </w:r>
          </w:p>
        </w:tc>
        <w:tc>
          <w:tcPr>
            <w:tcW w:w="859" w:type="pct"/>
          </w:tcPr>
          <w:p w:rsidR="001411AE" w:rsidRPr="00A45D29" w:rsidRDefault="001411AE" w:rsidP="00CE3146">
            <w:pPr>
              <w:jc w:val="left"/>
              <w:rPr>
                <w:rFonts w:cs="Arial"/>
                <w:b/>
                <w:sz w:val="22"/>
                <w:szCs w:val="22"/>
              </w:rPr>
            </w:pPr>
            <w:r w:rsidRPr="00A45D29">
              <w:rPr>
                <w:rFonts w:cs="Arial"/>
                <w:b/>
                <w:sz w:val="22"/>
                <w:szCs w:val="22"/>
              </w:rPr>
              <w:t>Timescale</w:t>
            </w:r>
          </w:p>
        </w:tc>
      </w:tr>
      <w:tr w:rsidR="001411AE" w:rsidRPr="00215F29" w:rsidTr="004901C3">
        <w:tc>
          <w:tcPr>
            <w:tcW w:w="1211" w:type="pct"/>
          </w:tcPr>
          <w:p w:rsidR="001411AE" w:rsidRPr="00A45D29" w:rsidRDefault="001411AE" w:rsidP="00CE3146">
            <w:pPr>
              <w:jc w:val="left"/>
              <w:rPr>
                <w:rFonts w:cs="Arial"/>
                <w:sz w:val="22"/>
                <w:szCs w:val="22"/>
              </w:rPr>
            </w:pPr>
            <w:r w:rsidRPr="00A45D29">
              <w:rPr>
                <w:rFonts w:cs="Arial"/>
                <w:sz w:val="22"/>
                <w:szCs w:val="22"/>
              </w:rPr>
              <w:t>Develop a Pension Fund website</w:t>
            </w:r>
          </w:p>
        </w:tc>
        <w:tc>
          <w:tcPr>
            <w:tcW w:w="1667" w:type="pct"/>
          </w:tcPr>
          <w:p w:rsidR="001411AE" w:rsidRPr="00A45D29" w:rsidRDefault="001411AE" w:rsidP="00CE3146">
            <w:pPr>
              <w:jc w:val="left"/>
              <w:rPr>
                <w:rFonts w:cs="Arial"/>
                <w:sz w:val="22"/>
                <w:szCs w:val="22"/>
              </w:rPr>
            </w:pPr>
            <w:r w:rsidRPr="00A45D29">
              <w:rPr>
                <w:rFonts w:cs="Arial"/>
                <w:sz w:val="22"/>
                <w:szCs w:val="22"/>
              </w:rPr>
              <w:t xml:space="preserve">Design and implement new website </w:t>
            </w:r>
            <w:r w:rsidR="00D31F65">
              <w:rPr>
                <w:rFonts w:cs="Arial"/>
                <w:sz w:val="22"/>
                <w:szCs w:val="22"/>
              </w:rPr>
              <w:t>for the Fund's information as opposed to pensions administration processes</w:t>
            </w:r>
          </w:p>
        </w:tc>
        <w:tc>
          <w:tcPr>
            <w:tcW w:w="1263" w:type="pct"/>
          </w:tcPr>
          <w:p w:rsidR="001411AE" w:rsidRPr="00A45D29" w:rsidRDefault="001411AE" w:rsidP="00CE3146">
            <w:pPr>
              <w:jc w:val="left"/>
              <w:rPr>
                <w:rFonts w:cs="Arial"/>
                <w:sz w:val="22"/>
                <w:szCs w:val="22"/>
              </w:rPr>
            </w:pPr>
            <w:r w:rsidRPr="00A45D29">
              <w:rPr>
                <w:rFonts w:cs="Arial"/>
                <w:sz w:val="22"/>
                <w:szCs w:val="22"/>
              </w:rPr>
              <w:t xml:space="preserve">Increased engagement in </w:t>
            </w:r>
            <w:r w:rsidR="00D31F65">
              <w:rPr>
                <w:rFonts w:cs="Arial"/>
                <w:sz w:val="22"/>
                <w:szCs w:val="22"/>
              </w:rPr>
              <w:t>funding and investment issues  e.g. through the number of website visitors</w:t>
            </w:r>
          </w:p>
        </w:tc>
        <w:tc>
          <w:tcPr>
            <w:tcW w:w="859" w:type="pct"/>
          </w:tcPr>
          <w:p w:rsidR="001411AE" w:rsidRPr="00A45D29" w:rsidRDefault="001411AE" w:rsidP="00CE3146">
            <w:pPr>
              <w:jc w:val="left"/>
              <w:rPr>
                <w:rFonts w:cs="Arial"/>
                <w:sz w:val="22"/>
                <w:szCs w:val="22"/>
              </w:rPr>
            </w:pPr>
            <w:r w:rsidRPr="00A45D29">
              <w:rPr>
                <w:rFonts w:cs="Arial"/>
                <w:sz w:val="22"/>
                <w:szCs w:val="22"/>
              </w:rPr>
              <w:t>December 2015</w:t>
            </w:r>
          </w:p>
        </w:tc>
      </w:tr>
    </w:tbl>
    <w:p w:rsidR="00002024" w:rsidRDefault="00002024">
      <w:r>
        <w:br w:type="page"/>
      </w:r>
    </w:p>
    <w:tbl>
      <w:tblPr>
        <w:tblStyle w:val="TableGrid"/>
        <w:tblW w:w="5000" w:type="pct"/>
        <w:tblLook w:val="04A0" w:firstRow="1" w:lastRow="0" w:firstColumn="1" w:lastColumn="0" w:noHBand="0" w:noVBand="1"/>
      </w:tblPr>
      <w:tblGrid>
        <w:gridCol w:w="2290"/>
        <w:gridCol w:w="3153"/>
        <w:gridCol w:w="2389"/>
        <w:gridCol w:w="1625"/>
      </w:tblGrid>
      <w:tr w:rsidR="00002024" w:rsidRPr="00215F29" w:rsidTr="004901C3">
        <w:tc>
          <w:tcPr>
            <w:tcW w:w="1211" w:type="pct"/>
          </w:tcPr>
          <w:p w:rsidR="00002024" w:rsidRPr="00A45D29" w:rsidRDefault="00002024" w:rsidP="00002024">
            <w:pPr>
              <w:jc w:val="left"/>
              <w:rPr>
                <w:rFonts w:cs="Arial"/>
                <w:b/>
                <w:sz w:val="22"/>
                <w:szCs w:val="22"/>
              </w:rPr>
            </w:pPr>
            <w:r w:rsidRPr="00A45D29">
              <w:rPr>
                <w:rFonts w:cs="Arial"/>
                <w:b/>
                <w:sz w:val="22"/>
                <w:szCs w:val="22"/>
              </w:rPr>
              <w:lastRenderedPageBreak/>
              <w:t>Action</w:t>
            </w:r>
          </w:p>
        </w:tc>
        <w:tc>
          <w:tcPr>
            <w:tcW w:w="1667" w:type="pct"/>
          </w:tcPr>
          <w:p w:rsidR="00002024" w:rsidRPr="00A45D29" w:rsidRDefault="00002024" w:rsidP="00002024">
            <w:pPr>
              <w:jc w:val="left"/>
              <w:rPr>
                <w:rFonts w:cs="Arial"/>
                <w:b/>
                <w:sz w:val="22"/>
                <w:szCs w:val="22"/>
              </w:rPr>
            </w:pPr>
            <w:r w:rsidRPr="00A45D29">
              <w:rPr>
                <w:rFonts w:cs="Arial"/>
                <w:b/>
                <w:sz w:val="22"/>
                <w:szCs w:val="22"/>
              </w:rPr>
              <w:t>How will this be achieved?</w:t>
            </w:r>
          </w:p>
        </w:tc>
        <w:tc>
          <w:tcPr>
            <w:tcW w:w="1263" w:type="pct"/>
          </w:tcPr>
          <w:p w:rsidR="00002024" w:rsidRPr="00A45D29" w:rsidRDefault="00002024" w:rsidP="00002024">
            <w:pPr>
              <w:jc w:val="left"/>
              <w:rPr>
                <w:rFonts w:cs="Arial"/>
                <w:b/>
                <w:sz w:val="22"/>
                <w:szCs w:val="22"/>
              </w:rPr>
            </w:pPr>
            <w:r w:rsidRPr="00A45D29">
              <w:rPr>
                <w:rFonts w:cs="Arial"/>
                <w:b/>
                <w:sz w:val="22"/>
                <w:szCs w:val="22"/>
              </w:rPr>
              <w:t>How will success be measured?</w:t>
            </w:r>
          </w:p>
        </w:tc>
        <w:tc>
          <w:tcPr>
            <w:tcW w:w="859" w:type="pct"/>
          </w:tcPr>
          <w:p w:rsidR="00002024" w:rsidRPr="00A45D29" w:rsidRDefault="00002024" w:rsidP="00002024">
            <w:pPr>
              <w:jc w:val="left"/>
              <w:rPr>
                <w:rFonts w:cs="Arial"/>
                <w:b/>
                <w:sz w:val="22"/>
                <w:szCs w:val="22"/>
              </w:rPr>
            </w:pPr>
            <w:r w:rsidRPr="00A45D29">
              <w:rPr>
                <w:rFonts w:cs="Arial"/>
                <w:b/>
                <w:sz w:val="22"/>
                <w:szCs w:val="22"/>
              </w:rPr>
              <w:t>Timescale</w:t>
            </w:r>
          </w:p>
        </w:tc>
      </w:tr>
      <w:tr w:rsidR="00002024" w:rsidRPr="00215F29" w:rsidTr="004901C3">
        <w:tc>
          <w:tcPr>
            <w:tcW w:w="1211" w:type="pct"/>
          </w:tcPr>
          <w:p w:rsidR="00002024" w:rsidRPr="00A45D29" w:rsidRDefault="00002024" w:rsidP="00002024">
            <w:pPr>
              <w:jc w:val="left"/>
              <w:rPr>
                <w:rFonts w:cs="Arial"/>
                <w:sz w:val="22"/>
                <w:szCs w:val="22"/>
              </w:rPr>
            </w:pPr>
            <w:r w:rsidRPr="00A45D29">
              <w:rPr>
                <w:rFonts w:cs="Arial"/>
                <w:sz w:val="22"/>
                <w:szCs w:val="22"/>
              </w:rPr>
              <w:t>Develop and implement a Member engagement strategy</w:t>
            </w:r>
          </w:p>
        </w:tc>
        <w:tc>
          <w:tcPr>
            <w:tcW w:w="1667" w:type="pct"/>
          </w:tcPr>
          <w:p w:rsidR="00002024" w:rsidRPr="00A45D29" w:rsidRDefault="00002024" w:rsidP="00002024">
            <w:pPr>
              <w:spacing w:after="0"/>
              <w:jc w:val="left"/>
              <w:rPr>
                <w:rFonts w:eastAsiaTheme="minorHAnsi" w:cs="Arial"/>
                <w:color w:val="auto"/>
                <w:sz w:val="22"/>
                <w:szCs w:val="22"/>
              </w:rPr>
            </w:pPr>
            <w:r w:rsidRPr="00A45D29">
              <w:rPr>
                <w:rFonts w:eastAsiaTheme="minorHAnsi" w:cs="Arial"/>
                <w:color w:val="auto"/>
                <w:sz w:val="22"/>
                <w:szCs w:val="22"/>
              </w:rPr>
              <w:t xml:space="preserve">Promote the use of online and email communication and information sharing, making online self-service the norm and the website the first point of contact for members.   </w:t>
            </w:r>
          </w:p>
          <w:p w:rsidR="00002024" w:rsidRDefault="00002024" w:rsidP="00002024">
            <w:pPr>
              <w:spacing w:after="0"/>
              <w:jc w:val="left"/>
              <w:rPr>
                <w:rFonts w:eastAsiaTheme="minorHAnsi" w:cs="Arial"/>
                <w:color w:val="auto"/>
                <w:sz w:val="22"/>
                <w:szCs w:val="22"/>
              </w:rPr>
            </w:pPr>
          </w:p>
          <w:p w:rsidR="00002024" w:rsidRDefault="00002024" w:rsidP="00002024">
            <w:pPr>
              <w:spacing w:after="0"/>
              <w:jc w:val="left"/>
              <w:rPr>
                <w:rFonts w:eastAsiaTheme="minorHAnsi" w:cs="Arial"/>
                <w:color w:val="auto"/>
                <w:sz w:val="22"/>
                <w:szCs w:val="22"/>
              </w:rPr>
            </w:pPr>
          </w:p>
          <w:p w:rsidR="00002024" w:rsidRPr="00A45D29" w:rsidRDefault="00002024" w:rsidP="00002024">
            <w:pPr>
              <w:spacing w:after="0"/>
              <w:jc w:val="left"/>
              <w:rPr>
                <w:rFonts w:eastAsiaTheme="minorHAnsi" w:cs="Arial"/>
                <w:color w:val="auto"/>
                <w:sz w:val="22"/>
                <w:szCs w:val="22"/>
              </w:rPr>
            </w:pPr>
          </w:p>
          <w:p w:rsidR="00002024" w:rsidRPr="00A45D29" w:rsidRDefault="00002024" w:rsidP="00002024">
            <w:pPr>
              <w:spacing w:after="0"/>
              <w:jc w:val="left"/>
              <w:rPr>
                <w:rFonts w:eastAsiaTheme="minorHAnsi" w:cs="Arial"/>
                <w:color w:val="auto"/>
                <w:sz w:val="22"/>
                <w:szCs w:val="22"/>
              </w:rPr>
            </w:pPr>
            <w:r w:rsidRPr="00A45D29">
              <w:rPr>
                <w:rFonts w:eastAsiaTheme="minorHAnsi" w:cs="Arial"/>
                <w:color w:val="auto"/>
                <w:sz w:val="22"/>
                <w:szCs w:val="22"/>
              </w:rPr>
              <w:t>Take a multimedia approach to communication and engagement in recognition that different styles and methods of communication suit different stakeholders</w:t>
            </w:r>
          </w:p>
          <w:p w:rsidR="00002024" w:rsidRPr="00A45D29" w:rsidRDefault="00002024" w:rsidP="00002024">
            <w:pPr>
              <w:spacing w:after="0"/>
              <w:jc w:val="left"/>
              <w:rPr>
                <w:rFonts w:cs="Arial"/>
                <w:sz w:val="22"/>
                <w:szCs w:val="22"/>
              </w:rPr>
            </w:pPr>
          </w:p>
        </w:tc>
        <w:tc>
          <w:tcPr>
            <w:tcW w:w="1263" w:type="pct"/>
          </w:tcPr>
          <w:p w:rsidR="00002024" w:rsidRPr="00A45D29" w:rsidRDefault="00002024" w:rsidP="00002024">
            <w:pPr>
              <w:jc w:val="left"/>
              <w:rPr>
                <w:rFonts w:cs="Arial"/>
                <w:sz w:val="22"/>
                <w:szCs w:val="22"/>
              </w:rPr>
            </w:pPr>
            <w:r w:rsidRPr="00A45D29">
              <w:rPr>
                <w:rFonts w:cs="Arial"/>
                <w:sz w:val="22"/>
                <w:szCs w:val="22"/>
              </w:rPr>
              <w:t>Demonstrable increase in online self- service activity.</w:t>
            </w:r>
          </w:p>
          <w:p w:rsidR="00002024" w:rsidRPr="00A45D29" w:rsidRDefault="00002024" w:rsidP="00002024">
            <w:pPr>
              <w:jc w:val="left"/>
              <w:rPr>
                <w:rFonts w:cs="Arial"/>
                <w:sz w:val="22"/>
                <w:szCs w:val="22"/>
              </w:rPr>
            </w:pPr>
            <w:r w:rsidRPr="00A45D29">
              <w:rPr>
                <w:rFonts w:cs="Arial"/>
                <w:sz w:val="22"/>
                <w:szCs w:val="22"/>
              </w:rPr>
              <w:t xml:space="preserve">Increase in web contact/reduction in telephone contact </w:t>
            </w:r>
          </w:p>
          <w:p w:rsidR="00002024" w:rsidRPr="00A45D29" w:rsidRDefault="00002024" w:rsidP="00002024">
            <w:pPr>
              <w:jc w:val="left"/>
              <w:rPr>
                <w:rFonts w:cs="Arial"/>
                <w:sz w:val="22"/>
                <w:szCs w:val="22"/>
              </w:rPr>
            </w:pPr>
          </w:p>
          <w:p w:rsidR="00002024" w:rsidRPr="00A45D29" w:rsidRDefault="00002024" w:rsidP="00002024">
            <w:pPr>
              <w:jc w:val="left"/>
              <w:rPr>
                <w:rFonts w:cs="Arial"/>
                <w:sz w:val="22"/>
                <w:szCs w:val="22"/>
              </w:rPr>
            </w:pPr>
            <w:r w:rsidRPr="00A45D29">
              <w:rPr>
                <w:rFonts w:cs="Arial"/>
                <w:sz w:val="22"/>
                <w:szCs w:val="22"/>
              </w:rPr>
              <w:t xml:space="preserve">Increase in customer satisfaction  </w:t>
            </w:r>
          </w:p>
          <w:p w:rsidR="00002024" w:rsidRPr="00A45D29" w:rsidRDefault="00002024" w:rsidP="00002024">
            <w:pPr>
              <w:jc w:val="left"/>
              <w:rPr>
                <w:rFonts w:cs="Arial"/>
                <w:sz w:val="22"/>
                <w:szCs w:val="22"/>
              </w:rPr>
            </w:pPr>
            <w:r w:rsidRPr="00A45D29">
              <w:rPr>
                <w:rFonts w:cs="Arial"/>
                <w:sz w:val="22"/>
                <w:szCs w:val="22"/>
              </w:rPr>
              <w:t xml:space="preserve">   </w:t>
            </w:r>
          </w:p>
        </w:tc>
        <w:tc>
          <w:tcPr>
            <w:tcW w:w="859" w:type="pct"/>
          </w:tcPr>
          <w:p w:rsidR="00002024" w:rsidRPr="00A45D29" w:rsidRDefault="00002024" w:rsidP="00002024">
            <w:pPr>
              <w:jc w:val="left"/>
              <w:rPr>
                <w:rFonts w:cs="Arial"/>
                <w:sz w:val="22"/>
                <w:szCs w:val="22"/>
              </w:rPr>
            </w:pPr>
            <w:r w:rsidRPr="00A45D29">
              <w:rPr>
                <w:rFonts w:cs="Arial"/>
                <w:sz w:val="22"/>
                <w:szCs w:val="22"/>
              </w:rPr>
              <w:t xml:space="preserve">December 2017 </w:t>
            </w:r>
          </w:p>
        </w:tc>
      </w:tr>
      <w:tr w:rsidR="00002024" w:rsidRPr="00215F29" w:rsidTr="004901C3">
        <w:tc>
          <w:tcPr>
            <w:tcW w:w="1211" w:type="pct"/>
          </w:tcPr>
          <w:p w:rsidR="00002024" w:rsidRPr="00A45D29" w:rsidRDefault="00002024" w:rsidP="00002024">
            <w:pPr>
              <w:jc w:val="left"/>
              <w:rPr>
                <w:rFonts w:cs="Arial"/>
                <w:sz w:val="22"/>
                <w:szCs w:val="22"/>
              </w:rPr>
            </w:pPr>
            <w:r w:rsidRPr="00A45D29">
              <w:rPr>
                <w:rFonts w:cs="Arial"/>
                <w:sz w:val="22"/>
                <w:szCs w:val="22"/>
              </w:rPr>
              <w:t>Undertake systematic analysis of customer feedback</w:t>
            </w:r>
          </w:p>
        </w:tc>
        <w:tc>
          <w:tcPr>
            <w:tcW w:w="1667" w:type="pct"/>
          </w:tcPr>
          <w:p w:rsidR="00002024" w:rsidRPr="00A45D29" w:rsidRDefault="00002024" w:rsidP="00002024">
            <w:pPr>
              <w:jc w:val="left"/>
              <w:rPr>
                <w:rFonts w:cs="Arial"/>
                <w:sz w:val="22"/>
                <w:szCs w:val="22"/>
              </w:rPr>
            </w:pPr>
            <w:r w:rsidRPr="00A45D29">
              <w:rPr>
                <w:rFonts w:cs="Arial"/>
                <w:sz w:val="22"/>
                <w:szCs w:val="22"/>
              </w:rPr>
              <w:t xml:space="preserve">Implement formal process for review of complaints and compliments </w:t>
            </w:r>
          </w:p>
          <w:p w:rsidR="00002024" w:rsidRPr="00A45D29" w:rsidRDefault="00002024" w:rsidP="00002024">
            <w:pPr>
              <w:jc w:val="left"/>
              <w:rPr>
                <w:rFonts w:cs="Arial"/>
                <w:sz w:val="22"/>
                <w:szCs w:val="22"/>
              </w:rPr>
            </w:pPr>
            <w:r w:rsidRPr="00A45D29">
              <w:rPr>
                <w:rFonts w:cs="Arial"/>
                <w:sz w:val="22"/>
                <w:szCs w:val="22"/>
              </w:rPr>
              <w:t xml:space="preserve">Set targets for customer satisfaction and measure </w:t>
            </w:r>
          </w:p>
        </w:tc>
        <w:tc>
          <w:tcPr>
            <w:tcW w:w="1263" w:type="pct"/>
          </w:tcPr>
          <w:p w:rsidR="00002024" w:rsidRPr="00A45D29" w:rsidRDefault="00002024" w:rsidP="00002024">
            <w:pPr>
              <w:jc w:val="left"/>
              <w:rPr>
                <w:rFonts w:cs="Arial"/>
                <w:sz w:val="22"/>
                <w:szCs w:val="22"/>
              </w:rPr>
            </w:pPr>
            <w:r w:rsidRPr="00A45D29">
              <w:rPr>
                <w:rFonts w:cs="Arial"/>
                <w:sz w:val="22"/>
                <w:szCs w:val="22"/>
              </w:rPr>
              <w:t>Year on year reduction in complaints/increase in  compliments</w:t>
            </w:r>
          </w:p>
          <w:p w:rsidR="00002024" w:rsidRPr="00A45D29" w:rsidRDefault="00002024" w:rsidP="00002024">
            <w:pPr>
              <w:jc w:val="left"/>
              <w:rPr>
                <w:rFonts w:cs="Arial"/>
                <w:sz w:val="22"/>
                <w:szCs w:val="22"/>
              </w:rPr>
            </w:pPr>
            <w:r w:rsidRPr="00A45D29">
              <w:rPr>
                <w:rFonts w:cs="Arial"/>
                <w:sz w:val="22"/>
                <w:szCs w:val="22"/>
              </w:rPr>
              <w:t xml:space="preserve">Targets achieved   </w:t>
            </w:r>
          </w:p>
        </w:tc>
        <w:tc>
          <w:tcPr>
            <w:tcW w:w="859" w:type="pct"/>
          </w:tcPr>
          <w:p w:rsidR="00002024" w:rsidRPr="00A45D29" w:rsidRDefault="00002024" w:rsidP="00002024">
            <w:pPr>
              <w:jc w:val="left"/>
              <w:rPr>
                <w:rFonts w:cs="Arial"/>
                <w:sz w:val="22"/>
                <w:szCs w:val="22"/>
              </w:rPr>
            </w:pPr>
            <w:r w:rsidRPr="00A45D29">
              <w:rPr>
                <w:rFonts w:cs="Arial"/>
                <w:sz w:val="22"/>
                <w:szCs w:val="22"/>
              </w:rPr>
              <w:t xml:space="preserve">March 2017 </w:t>
            </w:r>
          </w:p>
        </w:tc>
      </w:tr>
    </w:tbl>
    <w:p w:rsidR="001411AE" w:rsidRPr="00215F29" w:rsidRDefault="001411AE" w:rsidP="001411AE">
      <w:pPr>
        <w:jc w:val="left"/>
        <w:rPr>
          <w:rFonts w:cs="Arial"/>
        </w:rPr>
      </w:pPr>
    </w:p>
    <w:p w:rsidR="00D31F65" w:rsidRDefault="00195504" w:rsidP="00486913">
      <w:pPr>
        <w:autoSpaceDE/>
        <w:autoSpaceDN/>
        <w:adjustRightInd/>
        <w:spacing w:after="0"/>
        <w:rPr>
          <w:b/>
          <w:sz w:val="32"/>
          <w:szCs w:val="32"/>
          <w:lang w:eastAsia="en-GB"/>
        </w:rPr>
      </w:pPr>
      <w:r>
        <w:rPr>
          <w:lang w:eastAsia="en-GB"/>
        </w:rPr>
        <w:br w:type="page"/>
      </w:r>
      <w:r w:rsidR="00486913">
        <w:rPr>
          <w:b/>
          <w:sz w:val="32"/>
          <w:szCs w:val="32"/>
          <w:lang w:eastAsia="en-GB"/>
        </w:rPr>
        <w:lastRenderedPageBreak/>
        <w:t>Glossary</w:t>
      </w:r>
    </w:p>
    <w:p w:rsidR="00D31F65" w:rsidRDefault="00D31F65" w:rsidP="00486913">
      <w:pPr>
        <w:autoSpaceDE/>
        <w:autoSpaceDN/>
        <w:adjustRightInd/>
        <w:spacing w:after="0"/>
        <w:rPr>
          <w:b/>
          <w:sz w:val="32"/>
          <w:szCs w:val="32"/>
          <w:lang w:eastAsia="en-GB"/>
        </w:rPr>
      </w:pPr>
    </w:p>
    <w:p w:rsidR="00D31F65" w:rsidRDefault="00D31F65" w:rsidP="00486913">
      <w:pPr>
        <w:autoSpaceDE/>
        <w:autoSpaceDN/>
        <w:adjustRightInd/>
        <w:spacing w:after="0"/>
        <w:rPr>
          <w:lang w:eastAsia="en-GB"/>
        </w:rPr>
      </w:pPr>
      <w:r>
        <w:rPr>
          <w:lang w:eastAsia="en-GB"/>
        </w:rPr>
        <w:t>PFC – The Pension Fund Committee the body of elected councillors and other representatives of employers and scheme members responsible for making the key decisions about the management of the Fund.</w:t>
      </w:r>
    </w:p>
    <w:p w:rsidR="00D31F65" w:rsidRDefault="00D31F65" w:rsidP="00486913">
      <w:pPr>
        <w:autoSpaceDE/>
        <w:autoSpaceDN/>
        <w:adjustRightInd/>
        <w:spacing w:after="0"/>
        <w:rPr>
          <w:lang w:eastAsia="en-GB"/>
        </w:rPr>
      </w:pPr>
    </w:p>
    <w:p w:rsidR="004A7634" w:rsidRDefault="00D31F65" w:rsidP="00486913">
      <w:pPr>
        <w:autoSpaceDE/>
        <w:autoSpaceDN/>
        <w:adjustRightInd/>
        <w:spacing w:after="0"/>
        <w:rPr>
          <w:lang w:eastAsia="en-GB"/>
        </w:rPr>
      </w:pPr>
      <w:r>
        <w:rPr>
          <w:lang w:eastAsia="en-GB"/>
        </w:rPr>
        <w:t>LPB – The Local Pension Board, a body of 4 employers and 4 scheme members together with an Independent Chair who are responsible for overseeing the work of the County Council as Administering Authority for the Fund and making recommendations for improvement.</w:t>
      </w:r>
    </w:p>
    <w:p w:rsidR="004A7634" w:rsidRDefault="004A7634" w:rsidP="00486913">
      <w:pPr>
        <w:autoSpaceDE/>
        <w:autoSpaceDN/>
        <w:adjustRightInd/>
        <w:spacing w:after="0"/>
        <w:rPr>
          <w:lang w:eastAsia="en-GB"/>
        </w:rPr>
      </w:pPr>
    </w:p>
    <w:p w:rsidR="004A7634" w:rsidRDefault="004A7634" w:rsidP="00486913">
      <w:pPr>
        <w:autoSpaceDE/>
        <w:autoSpaceDN/>
        <w:adjustRightInd/>
        <w:spacing w:after="0"/>
        <w:rPr>
          <w:lang w:eastAsia="en-GB"/>
        </w:rPr>
      </w:pPr>
      <w:r>
        <w:rPr>
          <w:lang w:eastAsia="en-GB"/>
        </w:rPr>
        <w:t xml:space="preserve">TPR – The Pensions Regulator who from April 2015 is responsible for ensuring that all public sector pension schemes adhere to proper standards of governance and service quality. </w:t>
      </w:r>
    </w:p>
    <w:p w:rsidR="004A7634" w:rsidRDefault="004A7634" w:rsidP="00486913">
      <w:pPr>
        <w:autoSpaceDE/>
        <w:autoSpaceDN/>
        <w:adjustRightInd/>
        <w:spacing w:after="0"/>
        <w:rPr>
          <w:lang w:eastAsia="en-GB"/>
        </w:rPr>
      </w:pPr>
    </w:p>
    <w:p w:rsidR="00002024" w:rsidRDefault="00002024" w:rsidP="00486913">
      <w:pPr>
        <w:autoSpaceDE/>
        <w:autoSpaceDN/>
        <w:adjustRightInd/>
        <w:spacing w:after="0"/>
        <w:rPr>
          <w:lang w:eastAsia="en-GB"/>
        </w:rPr>
      </w:pPr>
    </w:p>
    <w:p w:rsidR="00486913" w:rsidRDefault="00486913" w:rsidP="00486913">
      <w:pPr>
        <w:autoSpaceDE/>
        <w:autoSpaceDN/>
        <w:adjustRightInd/>
        <w:spacing w:after="0"/>
        <w:rPr>
          <w:lang w:eastAsia="en-GB"/>
        </w:rPr>
      </w:pPr>
      <w:r>
        <w:rPr>
          <w:lang w:eastAsia="en-GB"/>
        </w:rPr>
        <w:br w:type="page"/>
      </w:r>
    </w:p>
    <w:p w:rsidR="00195504" w:rsidRDefault="00195504" w:rsidP="00195504">
      <w:pPr>
        <w:rPr>
          <w:b/>
          <w:sz w:val="32"/>
          <w:szCs w:val="32"/>
          <w:lang w:eastAsia="en-GB"/>
        </w:rPr>
      </w:pPr>
      <w:r w:rsidRPr="00195504">
        <w:rPr>
          <w:b/>
          <w:sz w:val="32"/>
          <w:szCs w:val="32"/>
          <w:lang w:eastAsia="en-GB"/>
        </w:rPr>
        <w:lastRenderedPageBreak/>
        <w:t>Contacts for further information</w:t>
      </w:r>
    </w:p>
    <w:p w:rsidR="00797860" w:rsidRDefault="00797860" w:rsidP="00797860">
      <w:pPr>
        <w:rPr>
          <w:lang w:eastAsia="en-GB"/>
        </w:rPr>
      </w:pPr>
      <w:r w:rsidRPr="004126FA">
        <w:rPr>
          <w:lang w:eastAsia="en-GB"/>
        </w:rPr>
        <w:t>For further</w:t>
      </w:r>
      <w:r>
        <w:rPr>
          <w:lang w:eastAsia="en-GB"/>
        </w:rPr>
        <w:t xml:space="preserve"> information on the contents of this plan please contact:</w:t>
      </w:r>
    </w:p>
    <w:p w:rsidR="00797860" w:rsidRDefault="00797860" w:rsidP="00797860">
      <w:pPr>
        <w:rPr>
          <w:b/>
          <w:sz w:val="32"/>
          <w:szCs w:val="32"/>
          <w:lang w:eastAsia="en-GB"/>
        </w:rPr>
      </w:pPr>
    </w:p>
    <w:p w:rsidR="00797860" w:rsidRDefault="00797860" w:rsidP="00797860">
      <w:pPr>
        <w:rPr>
          <w:lang w:eastAsia="en-GB"/>
        </w:rPr>
      </w:pPr>
      <w:r>
        <w:rPr>
          <w:lang w:eastAsia="en-GB"/>
        </w:rPr>
        <w:t>Overall management of the Pension Fund</w:t>
      </w:r>
    </w:p>
    <w:p w:rsidR="00797860" w:rsidRDefault="00797860" w:rsidP="00797860">
      <w:pPr>
        <w:rPr>
          <w:lang w:eastAsia="en-GB"/>
        </w:rPr>
      </w:pPr>
      <w:r>
        <w:rPr>
          <w:lang w:eastAsia="en-GB"/>
        </w:rPr>
        <w:t>George Graham</w:t>
      </w:r>
    </w:p>
    <w:p w:rsidR="00797860" w:rsidRDefault="00797860" w:rsidP="00797860">
      <w:pPr>
        <w:rPr>
          <w:lang w:eastAsia="en-GB"/>
        </w:rPr>
      </w:pPr>
      <w:r>
        <w:rPr>
          <w:lang w:eastAsia="en-GB"/>
        </w:rPr>
        <w:t>Director Lancashire County Pension Fund</w:t>
      </w:r>
    </w:p>
    <w:p w:rsidR="00797860" w:rsidRDefault="00797860" w:rsidP="00797860">
      <w:pPr>
        <w:rPr>
          <w:lang w:eastAsia="en-GB"/>
        </w:rPr>
      </w:pPr>
      <w:r>
        <w:rPr>
          <w:lang w:eastAsia="en-GB"/>
        </w:rPr>
        <w:t>Phone (01772) 538102</w:t>
      </w:r>
    </w:p>
    <w:p w:rsidR="00797860" w:rsidRDefault="00797860" w:rsidP="00797860">
      <w:pPr>
        <w:rPr>
          <w:lang w:eastAsia="en-GB"/>
        </w:rPr>
      </w:pPr>
      <w:r>
        <w:rPr>
          <w:lang w:eastAsia="en-GB"/>
        </w:rPr>
        <w:t xml:space="preserve">E mail </w:t>
      </w:r>
      <w:hyperlink r:id="rId19" w:history="1">
        <w:r w:rsidRPr="00705100">
          <w:rPr>
            <w:rStyle w:val="Hyperlink"/>
            <w:rFonts w:cs="Helvetica-Light"/>
            <w:lang w:eastAsia="en-GB"/>
          </w:rPr>
          <w:t>george.graham@lancashire.gov.uk</w:t>
        </w:r>
      </w:hyperlink>
      <w:r>
        <w:rPr>
          <w:lang w:eastAsia="en-GB"/>
        </w:rPr>
        <w:t xml:space="preserve"> </w:t>
      </w:r>
    </w:p>
    <w:p w:rsidR="00797860" w:rsidRDefault="00797860" w:rsidP="00797860">
      <w:pPr>
        <w:rPr>
          <w:lang w:eastAsia="en-GB"/>
        </w:rPr>
      </w:pPr>
    </w:p>
    <w:p w:rsidR="00797860" w:rsidRDefault="00797860" w:rsidP="00797860">
      <w:pPr>
        <w:rPr>
          <w:lang w:eastAsia="en-GB"/>
        </w:rPr>
      </w:pPr>
      <w:r>
        <w:rPr>
          <w:lang w:eastAsia="en-GB"/>
        </w:rPr>
        <w:t>Investment Matters</w:t>
      </w:r>
    </w:p>
    <w:p w:rsidR="00797860" w:rsidRDefault="00797860" w:rsidP="00797860">
      <w:pPr>
        <w:rPr>
          <w:lang w:eastAsia="en-GB"/>
        </w:rPr>
      </w:pPr>
      <w:r>
        <w:rPr>
          <w:lang w:eastAsia="en-GB"/>
        </w:rPr>
        <w:t>Mike Jensen</w:t>
      </w:r>
    </w:p>
    <w:p w:rsidR="00797860" w:rsidRDefault="00797860" w:rsidP="00797860">
      <w:pPr>
        <w:rPr>
          <w:lang w:eastAsia="en-GB"/>
        </w:rPr>
      </w:pPr>
      <w:r>
        <w:rPr>
          <w:lang w:eastAsia="en-GB"/>
        </w:rPr>
        <w:t>Chief Investment Officer</w:t>
      </w:r>
    </w:p>
    <w:p w:rsidR="00797860" w:rsidRDefault="00797860" w:rsidP="00797860">
      <w:pPr>
        <w:rPr>
          <w:lang w:eastAsia="en-GB"/>
        </w:rPr>
      </w:pPr>
      <w:r>
        <w:rPr>
          <w:lang w:eastAsia="en-GB"/>
        </w:rPr>
        <w:t>Phone (01772) 534742</w:t>
      </w:r>
    </w:p>
    <w:p w:rsidR="00797860" w:rsidRDefault="00797860" w:rsidP="00797860">
      <w:pPr>
        <w:rPr>
          <w:lang w:eastAsia="en-GB"/>
        </w:rPr>
      </w:pPr>
      <w:r>
        <w:rPr>
          <w:lang w:eastAsia="en-GB"/>
        </w:rPr>
        <w:t xml:space="preserve">E mail </w:t>
      </w:r>
      <w:hyperlink r:id="rId20" w:history="1">
        <w:r w:rsidRPr="00705100">
          <w:rPr>
            <w:rStyle w:val="Hyperlink"/>
            <w:rFonts w:cs="Helvetica-Light"/>
            <w:lang w:eastAsia="en-GB"/>
          </w:rPr>
          <w:t>mike.jensen@lancashire.gov.uk</w:t>
        </w:r>
      </w:hyperlink>
      <w:r>
        <w:rPr>
          <w:lang w:eastAsia="en-GB"/>
        </w:rPr>
        <w:t xml:space="preserve"> </w:t>
      </w:r>
    </w:p>
    <w:p w:rsidR="00797860" w:rsidRDefault="00797860" w:rsidP="00797860">
      <w:pPr>
        <w:rPr>
          <w:lang w:eastAsia="en-GB"/>
        </w:rPr>
      </w:pPr>
    </w:p>
    <w:p w:rsidR="00797860" w:rsidRDefault="00797860" w:rsidP="00797860">
      <w:pPr>
        <w:rPr>
          <w:lang w:eastAsia="en-GB"/>
        </w:rPr>
      </w:pPr>
      <w:r>
        <w:rPr>
          <w:lang w:eastAsia="en-GB"/>
        </w:rPr>
        <w:t>Administration and Benefits</w:t>
      </w:r>
    </w:p>
    <w:p w:rsidR="00797860" w:rsidRDefault="00797860" w:rsidP="00797860">
      <w:pPr>
        <w:rPr>
          <w:lang w:eastAsia="en-GB"/>
        </w:rPr>
      </w:pPr>
      <w:r>
        <w:rPr>
          <w:lang w:eastAsia="en-GB"/>
        </w:rPr>
        <w:t>Diane Lister</w:t>
      </w:r>
    </w:p>
    <w:p w:rsidR="00797860" w:rsidRDefault="00797860" w:rsidP="00797860">
      <w:pPr>
        <w:rPr>
          <w:lang w:eastAsia="en-GB"/>
        </w:rPr>
      </w:pPr>
      <w:r>
        <w:rPr>
          <w:lang w:eastAsia="en-GB"/>
        </w:rPr>
        <w:t>Head of Your Pension Service</w:t>
      </w:r>
    </w:p>
    <w:p w:rsidR="00797860" w:rsidRDefault="00797860" w:rsidP="00797860">
      <w:pPr>
        <w:rPr>
          <w:lang w:eastAsia="en-GB"/>
        </w:rPr>
      </w:pPr>
      <w:r>
        <w:rPr>
          <w:lang w:eastAsia="en-GB"/>
        </w:rPr>
        <w:t>Phone (01772) 534827</w:t>
      </w:r>
    </w:p>
    <w:p w:rsidR="00797860" w:rsidRDefault="00797860" w:rsidP="00797860">
      <w:pPr>
        <w:rPr>
          <w:lang w:eastAsia="en-GB"/>
        </w:rPr>
      </w:pPr>
      <w:r>
        <w:rPr>
          <w:lang w:eastAsia="en-GB"/>
        </w:rPr>
        <w:t xml:space="preserve">E mail </w:t>
      </w:r>
      <w:hyperlink r:id="rId21" w:history="1">
        <w:r w:rsidRPr="00705100">
          <w:rPr>
            <w:rStyle w:val="Hyperlink"/>
            <w:rFonts w:cs="Helvetica-Light"/>
            <w:lang w:eastAsia="en-GB"/>
          </w:rPr>
          <w:t>diane.lister@lancashire.gov.uk</w:t>
        </w:r>
      </w:hyperlink>
      <w:r>
        <w:rPr>
          <w:lang w:eastAsia="en-GB"/>
        </w:rPr>
        <w:t xml:space="preserve"> </w:t>
      </w:r>
    </w:p>
    <w:p w:rsidR="00797860" w:rsidRDefault="00797860" w:rsidP="00797860">
      <w:pPr>
        <w:rPr>
          <w:lang w:eastAsia="en-GB"/>
        </w:rPr>
      </w:pPr>
    </w:p>
    <w:p w:rsidR="00797860" w:rsidRDefault="00797860" w:rsidP="00797860">
      <w:pPr>
        <w:rPr>
          <w:lang w:eastAsia="en-GB"/>
        </w:rPr>
      </w:pPr>
      <w:r>
        <w:rPr>
          <w:lang w:eastAsia="en-GB"/>
        </w:rPr>
        <w:t>Policy and Compliance</w:t>
      </w:r>
    </w:p>
    <w:p w:rsidR="00797860" w:rsidRDefault="00797860" w:rsidP="00797860">
      <w:pPr>
        <w:rPr>
          <w:lang w:eastAsia="en-GB"/>
        </w:rPr>
      </w:pPr>
      <w:r>
        <w:rPr>
          <w:lang w:eastAsia="en-GB"/>
        </w:rPr>
        <w:lastRenderedPageBreak/>
        <w:t>Andy Fox</w:t>
      </w:r>
    </w:p>
    <w:p w:rsidR="00797860" w:rsidRDefault="00797860" w:rsidP="00797860">
      <w:pPr>
        <w:rPr>
          <w:lang w:eastAsia="en-GB"/>
        </w:rPr>
      </w:pPr>
      <w:r>
        <w:rPr>
          <w:lang w:eastAsia="en-GB"/>
        </w:rPr>
        <w:t>Head of Policy and Compliance</w:t>
      </w:r>
    </w:p>
    <w:p w:rsidR="00797860" w:rsidRDefault="00797860" w:rsidP="00797860">
      <w:pPr>
        <w:rPr>
          <w:lang w:eastAsia="en-GB"/>
        </w:rPr>
      </w:pPr>
      <w:r>
        <w:rPr>
          <w:lang w:eastAsia="en-GB"/>
        </w:rPr>
        <w:t>Phone (01772) 535916</w:t>
      </w:r>
    </w:p>
    <w:p w:rsidR="00797860" w:rsidRDefault="00797860" w:rsidP="00797860">
      <w:pPr>
        <w:rPr>
          <w:lang w:eastAsia="en-GB"/>
        </w:rPr>
      </w:pPr>
      <w:r>
        <w:rPr>
          <w:lang w:eastAsia="en-GB"/>
        </w:rPr>
        <w:t xml:space="preserve">E mail </w:t>
      </w:r>
      <w:hyperlink r:id="rId22" w:history="1">
        <w:r w:rsidRPr="00705100">
          <w:rPr>
            <w:rStyle w:val="Hyperlink"/>
            <w:rFonts w:cs="Helvetica-Light"/>
            <w:lang w:eastAsia="en-GB"/>
          </w:rPr>
          <w:t>andrew.fox@lancashire.gov.uk</w:t>
        </w:r>
      </w:hyperlink>
      <w:r>
        <w:rPr>
          <w:lang w:eastAsia="en-GB"/>
        </w:rPr>
        <w:t xml:space="preserve"> </w:t>
      </w:r>
    </w:p>
    <w:p w:rsidR="00797860" w:rsidRDefault="00797860" w:rsidP="00797860">
      <w:pPr>
        <w:rPr>
          <w:lang w:eastAsia="en-GB"/>
        </w:rPr>
      </w:pPr>
    </w:p>
    <w:p w:rsidR="00797860" w:rsidRDefault="00797860" w:rsidP="00797860">
      <w:pPr>
        <w:rPr>
          <w:lang w:eastAsia="en-GB"/>
        </w:rPr>
      </w:pPr>
      <w:r>
        <w:rPr>
          <w:lang w:eastAsia="en-GB"/>
        </w:rPr>
        <w:t>For individual queries please contact</w:t>
      </w:r>
    </w:p>
    <w:p w:rsidR="00797860" w:rsidRDefault="00797860" w:rsidP="00797860">
      <w:pPr>
        <w:rPr>
          <w:lang w:eastAsia="en-GB"/>
        </w:rPr>
      </w:pPr>
    </w:p>
    <w:p w:rsidR="00797860" w:rsidRDefault="00797860" w:rsidP="00797860">
      <w:pPr>
        <w:rPr>
          <w:lang w:eastAsia="en-GB"/>
        </w:rPr>
      </w:pPr>
      <w:r>
        <w:rPr>
          <w:lang w:eastAsia="en-GB"/>
        </w:rPr>
        <w:t xml:space="preserve">Phone </w:t>
      </w:r>
      <w:r w:rsidR="001823B9">
        <w:rPr>
          <w:lang w:eastAsia="en-GB"/>
        </w:rPr>
        <w:t>(</w:t>
      </w:r>
      <w:r>
        <w:rPr>
          <w:lang w:eastAsia="en-GB"/>
        </w:rPr>
        <w:t>01772</w:t>
      </w:r>
      <w:r w:rsidR="001823B9">
        <w:rPr>
          <w:lang w:eastAsia="en-GB"/>
        </w:rPr>
        <w:t>)</w:t>
      </w:r>
      <w:r>
        <w:rPr>
          <w:lang w:eastAsia="en-GB"/>
        </w:rPr>
        <w:t xml:space="preserve"> 530530</w:t>
      </w:r>
    </w:p>
    <w:p w:rsidR="00797860" w:rsidRDefault="00797860" w:rsidP="00797860">
      <w:pPr>
        <w:rPr>
          <w:lang w:eastAsia="en-GB"/>
        </w:rPr>
      </w:pPr>
      <w:r>
        <w:rPr>
          <w:lang w:eastAsia="en-GB"/>
        </w:rPr>
        <w:t xml:space="preserve">E mail: </w:t>
      </w:r>
      <w:hyperlink r:id="rId23" w:history="1">
        <w:r w:rsidRPr="00265B13">
          <w:rPr>
            <w:rStyle w:val="Hyperlink"/>
            <w:rFonts w:cs="Helvetica-Light"/>
            <w:lang w:eastAsia="en-GB"/>
          </w:rPr>
          <w:t>AskPensions@lancashire.gov.uk</w:t>
        </w:r>
      </w:hyperlink>
      <w:r>
        <w:rPr>
          <w:lang w:eastAsia="en-GB"/>
        </w:rPr>
        <w:t xml:space="preserve"> </w:t>
      </w:r>
    </w:p>
    <w:p w:rsidR="00797860" w:rsidRPr="00472259" w:rsidRDefault="00797860" w:rsidP="00797860">
      <w:pPr>
        <w:rPr>
          <w:lang w:eastAsia="en-GB"/>
        </w:rPr>
      </w:pPr>
      <w:r>
        <w:rPr>
          <w:lang w:eastAsia="en-GB"/>
        </w:rPr>
        <w:t xml:space="preserve">Website </w:t>
      </w:r>
      <w:hyperlink r:id="rId24" w:history="1">
        <w:r w:rsidRPr="00265B13">
          <w:rPr>
            <w:rStyle w:val="Hyperlink"/>
            <w:rFonts w:cs="Helvetica-Light"/>
            <w:lang w:eastAsia="en-GB"/>
          </w:rPr>
          <w:t>www.yourpensionservice.org,uk</w:t>
        </w:r>
      </w:hyperlink>
      <w:r>
        <w:rPr>
          <w:lang w:eastAsia="en-GB"/>
        </w:rPr>
        <w:t xml:space="preserve"> </w:t>
      </w:r>
    </w:p>
    <w:p w:rsidR="007D705A" w:rsidRDefault="007D705A" w:rsidP="00195504">
      <w:pPr>
        <w:rPr>
          <w:b/>
          <w:sz w:val="32"/>
          <w:szCs w:val="32"/>
          <w:lang w:eastAsia="en-GB"/>
        </w:rPr>
      </w:pPr>
    </w:p>
    <w:sectPr w:rsidR="007D705A" w:rsidSect="004901C3">
      <w:pgSz w:w="11900" w:h="16840" w:code="9"/>
      <w:pgMar w:top="1440" w:right="993" w:bottom="851"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BD" w:rsidRDefault="000F41BD" w:rsidP="00124FDC">
      <w:pPr>
        <w:spacing w:after="0"/>
      </w:pPr>
      <w:r>
        <w:separator/>
      </w:r>
    </w:p>
  </w:endnote>
  <w:endnote w:type="continuationSeparator" w:id="0">
    <w:p w:rsidR="000F41BD" w:rsidRDefault="000F41BD"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5C076A" w:rsidRPr="008E5502" w:rsidTr="001A4340">
      <w:trPr>
        <w:trHeight w:val="426"/>
        <w:jc w:val="center"/>
      </w:trPr>
      <w:tc>
        <w:tcPr>
          <w:tcW w:w="5000" w:type="pct"/>
          <w:shd w:val="clear" w:color="auto" w:fill="BFBFBF"/>
        </w:tcPr>
        <w:p w:rsidR="005C076A" w:rsidRPr="008E5502" w:rsidRDefault="005C076A" w:rsidP="00DB6FF3">
          <w:pPr>
            <w:pStyle w:val="Footer"/>
          </w:pPr>
          <w:r w:rsidRPr="008E5502">
            <w:t xml:space="preserve">• </w:t>
          </w:r>
          <w:r w:rsidR="0039042D">
            <w:fldChar w:fldCharType="begin"/>
          </w:r>
          <w:r w:rsidR="0039042D">
            <w:instrText xml:space="preserve"> PAGE   \* MERGEFORMAT </w:instrText>
          </w:r>
          <w:r w:rsidR="0039042D">
            <w:fldChar w:fldCharType="separate"/>
          </w:r>
          <w:r w:rsidR="00673E10">
            <w:rPr>
              <w:noProof/>
            </w:rPr>
            <w:t>2</w:t>
          </w:r>
          <w:r w:rsidR="0039042D">
            <w:rPr>
              <w:noProof/>
            </w:rPr>
            <w:fldChar w:fldCharType="end"/>
          </w:r>
          <w:r w:rsidRPr="008E5502">
            <w:t xml:space="preserve"> •</w:t>
          </w:r>
        </w:p>
      </w:tc>
    </w:tr>
  </w:tbl>
  <w:p w:rsidR="005C076A" w:rsidRDefault="005C076A"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BD" w:rsidRDefault="000F41BD" w:rsidP="00124FDC">
      <w:pPr>
        <w:spacing w:after="0"/>
      </w:pPr>
      <w:r>
        <w:separator/>
      </w:r>
    </w:p>
  </w:footnote>
  <w:footnote w:type="continuationSeparator" w:id="0">
    <w:p w:rsidR="000F41BD" w:rsidRDefault="000F41BD"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6A" w:rsidRDefault="0080547E">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0" t="0" r="0" b="698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6A" w:rsidRDefault="0080547E" w:rsidP="00846AEA">
    <w:pPr>
      <w:pStyle w:val="Header"/>
    </w:pPr>
    <w:r>
      <w:rPr>
        <w:noProof/>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-474980</wp:posOffset>
          </wp:positionV>
          <wp:extent cx="7568565" cy="10704830"/>
          <wp:effectExtent l="0" t="0" r="0" b="127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5C076A" w:rsidTr="00C74127">
      <w:trPr>
        <w:jc w:val="center"/>
      </w:trPr>
      <w:tc>
        <w:tcPr>
          <w:tcW w:w="5000" w:type="pct"/>
          <w:shd w:val="clear" w:color="auto" w:fill="D31145"/>
        </w:tcPr>
        <w:p w:rsidR="005C076A" w:rsidRPr="00C74127" w:rsidRDefault="005C076A" w:rsidP="00FE1A3B">
          <w:pPr>
            <w:pStyle w:val="Header"/>
          </w:pPr>
          <w:r>
            <w:t>Lancashire County Pension Fund – Strategic Plan 201</w:t>
          </w:r>
          <w:r w:rsidR="00FE1A3B">
            <w:t>5</w:t>
          </w:r>
          <w:r>
            <w:t>/1</w:t>
          </w:r>
          <w:r w:rsidR="00FE1A3B">
            <w:t>6</w:t>
          </w:r>
          <w:r>
            <w:t xml:space="preserve"> – 201</w:t>
          </w:r>
          <w:r w:rsidR="00FE1A3B">
            <w:t>7</w:t>
          </w:r>
          <w:r>
            <w:t>/1</w:t>
          </w:r>
          <w:r w:rsidR="00FE1A3B">
            <w:t>8</w:t>
          </w:r>
        </w:p>
      </w:tc>
    </w:tr>
  </w:tbl>
  <w:p w:rsidR="005C076A" w:rsidRDefault="005C076A"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5022"/>
    <w:multiLevelType w:val="hybridMultilevel"/>
    <w:tmpl w:val="938E2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61B73"/>
    <w:multiLevelType w:val="hybridMultilevel"/>
    <w:tmpl w:val="818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121B4"/>
    <w:multiLevelType w:val="hybridMultilevel"/>
    <w:tmpl w:val="0B00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376FC"/>
    <w:multiLevelType w:val="hybridMultilevel"/>
    <w:tmpl w:val="3D40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7827A8"/>
    <w:multiLevelType w:val="hybridMultilevel"/>
    <w:tmpl w:val="06CE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F529AE"/>
    <w:multiLevelType w:val="hybridMultilevel"/>
    <w:tmpl w:val="A7F02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6933B6"/>
    <w:multiLevelType w:val="hybridMultilevel"/>
    <w:tmpl w:val="019C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10D58"/>
    <w:multiLevelType w:val="hybridMultilevel"/>
    <w:tmpl w:val="25D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847CE"/>
    <w:multiLevelType w:val="hybridMultilevel"/>
    <w:tmpl w:val="D562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397443C6"/>
    <w:multiLevelType w:val="hybridMultilevel"/>
    <w:tmpl w:val="053C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AA15FB"/>
    <w:multiLevelType w:val="hybridMultilevel"/>
    <w:tmpl w:val="DC3C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96964"/>
    <w:multiLevelType w:val="hybridMultilevel"/>
    <w:tmpl w:val="9B442A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3B1962"/>
    <w:multiLevelType w:val="hybridMultilevel"/>
    <w:tmpl w:val="1194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16"/>
  </w:num>
  <w:num w:numId="4">
    <w:abstractNumId w:val="15"/>
  </w:num>
  <w:num w:numId="5">
    <w:abstractNumId w:val="12"/>
  </w:num>
  <w:num w:numId="6">
    <w:abstractNumId w:val="7"/>
  </w:num>
  <w:num w:numId="7">
    <w:abstractNumId w:val="6"/>
  </w:num>
  <w:num w:numId="8">
    <w:abstractNumId w:val="14"/>
  </w:num>
  <w:num w:numId="9">
    <w:abstractNumId w:val="1"/>
  </w:num>
  <w:num w:numId="10">
    <w:abstractNumId w:val="2"/>
  </w:num>
  <w:num w:numId="11">
    <w:abstractNumId w:val="8"/>
  </w:num>
  <w:num w:numId="12">
    <w:abstractNumId w:val="4"/>
  </w:num>
  <w:num w:numId="13">
    <w:abstractNumId w:val="3"/>
  </w:num>
  <w:num w:numId="14">
    <w:abstractNumId w:val="10"/>
  </w:num>
  <w:num w:numId="15">
    <w:abstractNumId w:val="13"/>
  </w:num>
  <w:num w:numId="16">
    <w:abstractNumId w:val="0"/>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8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024"/>
    <w:rsid w:val="00002B14"/>
    <w:rsid w:val="0001341B"/>
    <w:rsid w:val="0002009B"/>
    <w:rsid w:val="00024ACD"/>
    <w:rsid w:val="00025721"/>
    <w:rsid w:val="000271BD"/>
    <w:rsid w:val="0004609F"/>
    <w:rsid w:val="00054C03"/>
    <w:rsid w:val="000701AB"/>
    <w:rsid w:val="0007606B"/>
    <w:rsid w:val="0007727C"/>
    <w:rsid w:val="0008360D"/>
    <w:rsid w:val="00086E66"/>
    <w:rsid w:val="00092756"/>
    <w:rsid w:val="0009438D"/>
    <w:rsid w:val="000A1E1B"/>
    <w:rsid w:val="000A3BD2"/>
    <w:rsid w:val="000B11F8"/>
    <w:rsid w:val="000B29E0"/>
    <w:rsid w:val="000D15C8"/>
    <w:rsid w:val="000D3601"/>
    <w:rsid w:val="000D4BF2"/>
    <w:rsid w:val="000E00B0"/>
    <w:rsid w:val="000F2763"/>
    <w:rsid w:val="000F2931"/>
    <w:rsid w:val="000F41BD"/>
    <w:rsid w:val="001001D6"/>
    <w:rsid w:val="00112B05"/>
    <w:rsid w:val="001248E1"/>
    <w:rsid w:val="00124FDC"/>
    <w:rsid w:val="001318F2"/>
    <w:rsid w:val="001411AE"/>
    <w:rsid w:val="00142E26"/>
    <w:rsid w:val="00145C7C"/>
    <w:rsid w:val="0015063B"/>
    <w:rsid w:val="00157938"/>
    <w:rsid w:val="0016157E"/>
    <w:rsid w:val="00165163"/>
    <w:rsid w:val="00174280"/>
    <w:rsid w:val="0017632B"/>
    <w:rsid w:val="001823B9"/>
    <w:rsid w:val="001873E0"/>
    <w:rsid w:val="00195504"/>
    <w:rsid w:val="001A134C"/>
    <w:rsid w:val="001A4340"/>
    <w:rsid w:val="001A5E75"/>
    <w:rsid w:val="001D6C4E"/>
    <w:rsid w:val="001E22B3"/>
    <w:rsid w:val="001E417F"/>
    <w:rsid w:val="001E7EF0"/>
    <w:rsid w:val="00210D52"/>
    <w:rsid w:val="00214801"/>
    <w:rsid w:val="00222D1E"/>
    <w:rsid w:val="00222FD1"/>
    <w:rsid w:val="00227E9E"/>
    <w:rsid w:val="002345FB"/>
    <w:rsid w:val="002578B8"/>
    <w:rsid w:val="00260F67"/>
    <w:rsid w:val="0026678D"/>
    <w:rsid w:val="00267E3B"/>
    <w:rsid w:val="0027530D"/>
    <w:rsid w:val="00275B89"/>
    <w:rsid w:val="00283377"/>
    <w:rsid w:val="00285898"/>
    <w:rsid w:val="002909D9"/>
    <w:rsid w:val="002918E8"/>
    <w:rsid w:val="002930C1"/>
    <w:rsid w:val="002A0203"/>
    <w:rsid w:val="002A3292"/>
    <w:rsid w:val="002A6DE2"/>
    <w:rsid w:val="002B6FC4"/>
    <w:rsid w:val="002C4196"/>
    <w:rsid w:val="002D5781"/>
    <w:rsid w:val="002E0CED"/>
    <w:rsid w:val="002E36FD"/>
    <w:rsid w:val="002E5340"/>
    <w:rsid w:val="002F4AF1"/>
    <w:rsid w:val="003006E7"/>
    <w:rsid w:val="003059E8"/>
    <w:rsid w:val="00313657"/>
    <w:rsid w:val="003137E2"/>
    <w:rsid w:val="003218D4"/>
    <w:rsid w:val="0032276D"/>
    <w:rsid w:val="0032298A"/>
    <w:rsid w:val="00325446"/>
    <w:rsid w:val="00325CF6"/>
    <w:rsid w:val="00326867"/>
    <w:rsid w:val="003321F2"/>
    <w:rsid w:val="00333396"/>
    <w:rsid w:val="003348C9"/>
    <w:rsid w:val="003350AF"/>
    <w:rsid w:val="00340774"/>
    <w:rsid w:val="00350F56"/>
    <w:rsid w:val="00352C6F"/>
    <w:rsid w:val="00355D46"/>
    <w:rsid w:val="00356F36"/>
    <w:rsid w:val="00365825"/>
    <w:rsid w:val="00366E83"/>
    <w:rsid w:val="00384154"/>
    <w:rsid w:val="00386B6C"/>
    <w:rsid w:val="0039042D"/>
    <w:rsid w:val="00394975"/>
    <w:rsid w:val="003A55F8"/>
    <w:rsid w:val="003A7DCB"/>
    <w:rsid w:val="003B0C73"/>
    <w:rsid w:val="003B77BD"/>
    <w:rsid w:val="003C5D0D"/>
    <w:rsid w:val="003D1166"/>
    <w:rsid w:val="003E1CEE"/>
    <w:rsid w:val="003E4C50"/>
    <w:rsid w:val="003E743D"/>
    <w:rsid w:val="003F55B6"/>
    <w:rsid w:val="00424E57"/>
    <w:rsid w:val="0042503D"/>
    <w:rsid w:val="00442270"/>
    <w:rsid w:val="00444DDF"/>
    <w:rsid w:val="00451CE6"/>
    <w:rsid w:val="004533FD"/>
    <w:rsid w:val="00472A0F"/>
    <w:rsid w:val="00486913"/>
    <w:rsid w:val="00487350"/>
    <w:rsid w:val="004901C3"/>
    <w:rsid w:val="004A4F18"/>
    <w:rsid w:val="004A7634"/>
    <w:rsid w:val="004B573E"/>
    <w:rsid w:val="004C1750"/>
    <w:rsid w:val="004C22BB"/>
    <w:rsid w:val="004C2626"/>
    <w:rsid w:val="004C6A45"/>
    <w:rsid w:val="004D0F2F"/>
    <w:rsid w:val="004F4F4A"/>
    <w:rsid w:val="004F7221"/>
    <w:rsid w:val="005001EC"/>
    <w:rsid w:val="005066E6"/>
    <w:rsid w:val="005107F5"/>
    <w:rsid w:val="00510A25"/>
    <w:rsid w:val="00511F5D"/>
    <w:rsid w:val="00512E64"/>
    <w:rsid w:val="00516099"/>
    <w:rsid w:val="00516FCA"/>
    <w:rsid w:val="00531F2A"/>
    <w:rsid w:val="005331E8"/>
    <w:rsid w:val="00533982"/>
    <w:rsid w:val="005359E2"/>
    <w:rsid w:val="005360E5"/>
    <w:rsid w:val="0054261B"/>
    <w:rsid w:val="00553EFD"/>
    <w:rsid w:val="005546BD"/>
    <w:rsid w:val="0055592C"/>
    <w:rsid w:val="005602EE"/>
    <w:rsid w:val="00562427"/>
    <w:rsid w:val="00565DF7"/>
    <w:rsid w:val="005802F2"/>
    <w:rsid w:val="00591F1A"/>
    <w:rsid w:val="00592709"/>
    <w:rsid w:val="00594064"/>
    <w:rsid w:val="005A4493"/>
    <w:rsid w:val="005A6BE8"/>
    <w:rsid w:val="005C076A"/>
    <w:rsid w:val="005C1042"/>
    <w:rsid w:val="005C14AC"/>
    <w:rsid w:val="005C38AB"/>
    <w:rsid w:val="005C5693"/>
    <w:rsid w:val="005E6D70"/>
    <w:rsid w:val="005F0A9A"/>
    <w:rsid w:val="005F18FF"/>
    <w:rsid w:val="00602D56"/>
    <w:rsid w:val="0060480F"/>
    <w:rsid w:val="0061106D"/>
    <w:rsid w:val="006208E7"/>
    <w:rsid w:val="0062134E"/>
    <w:rsid w:val="006226CB"/>
    <w:rsid w:val="00641054"/>
    <w:rsid w:val="00642CD8"/>
    <w:rsid w:val="00650336"/>
    <w:rsid w:val="00654564"/>
    <w:rsid w:val="006549D3"/>
    <w:rsid w:val="006573DF"/>
    <w:rsid w:val="00657E34"/>
    <w:rsid w:val="00663E2A"/>
    <w:rsid w:val="00673E10"/>
    <w:rsid w:val="00675165"/>
    <w:rsid w:val="00675B77"/>
    <w:rsid w:val="006803D3"/>
    <w:rsid w:val="00683014"/>
    <w:rsid w:val="00684B24"/>
    <w:rsid w:val="006A7810"/>
    <w:rsid w:val="006B1F53"/>
    <w:rsid w:val="006C1917"/>
    <w:rsid w:val="006C210D"/>
    <w:rsid w:val="006C4F7E"/>
    <w:rsid w:val="006D1B63"/>
    <w:rsid w:val="006D7BB1"/>
    <w:rsid w:val="006E349B"/>
    <w:rsid w:val="006F1751"/>
    <w:rsid w:val="006F4002"/>
    <w:rsid w:val="0070583F"/>
    <w:rsid w:val="00716937"/>
    <w:rsid w:val="00717052"/>
    <w:rsid w:val="00730B2B"/>
    <w:rsid w:val="00736579"/>
    <w:rsid w:val="00737491"/>
    <w:rsid w:val="007423F7"/>
    <w:rsid w:val="00745055"/>
    <w:rsid w:val="00745B0F"/>
    <w:rsid w:val="007468E3"/>
    <w:rsid w:val="00753FFD"/>
    <w:rsid w:val="00770CBB"/>
    <w:rsid w:val="0077399D"/>
    <w:rsid w:val="00782BD5"/>
    <w:rsid w:val="0078342D"/>
    <w:rsid w:val="00784105"/>
    <w:rsid w:val="00784BFA"/>
    <w:rsid w:val="007871E4"/>
    <w:rsid w:val="00795732"/>
    <w:rsid w:val="00797100"/>
    <w:rsid w:val="00797860"/>
    <w:rsid w:val="007A5DF9"/>
    <w:rsid w:val="007A7D0A"/>
    <w:rsid w:val="007B5C1B"/>
    <w:rsid w:val="007D705A"/>
    <w:rsid w:val="007D7A6A"/>
    <w:rsid w:val="007E1CBA"/>
    <w:rsid w:val="007E1FED"/>
    <w:rsid w:val="007E778D"/>
    <w:rsid w:val="007F0E6B"/>
    <w:rsid w:val="007F158D"/>
    <w:rsid w:val="00800270"/>
    <w:rsid w:val="0080547E"/>
    <w:rsid w:val="00813CEC"/>
    <w:rsid w:val="00817D25"/>
    <w:rsid w:val="00843FA3"/>
    <w:rsid w:val="00846066"/>
    <w:rsid w:val="00846AEA"/>
    <w:rsid w:val="00846DAF"/>
    <w:rsid w:val="00850008"/>
    <w:rsid w:val="008656E7"/>
    <w:rsid w:val="008707EB"/>
    <w:rsid w:val="00874FCD"/>
    <w:rsid w:val="0088444B"/>
    <w:rsid w:val="00886A5B"/>
    <w:rsid w:val="00887C6E"/>
    <w:rsid w:val="00890CEC"/>
    <w:rsid w:val="00897D01"/>
    <w:rsid w:val="008A301D"/>
    <w:rsid w:val="008C3748"/>
    <w:rsid w:val="008C7625"/>
    <w:rsid w:val="008D4B18"/>
    <w:rsid w:val="008D4FF6"/>
    <w:rsid w:val="008D5152"/>
    <w:rsid w:val="008D6E36"/>
    <w:rsid w:val="008E11C5"/>
    <w:rsid w:val="008E5502"/>
    <w:rsid w:val="008F44ED"/>
    <w:rsid w:val="008F4C3D"/>
    <w:rsid w:val="008F54DB"/>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77B6"/>
    <w:rsid w:val="00971041"/>
    <w:rsid w:val="00980C35"/>
    <w:rsid w:val="009837B1"/>
    <w:rsid w:val="00994E2D"/>
    <w:rsid w:val="00996E68"/>
    <w:rsid w:val="009A45BC"/>
    <w:rsid w:val="009A49D9"/>
    <w:rsid w:val="009B36E3"/>
    <w:rsid w:val="009C1250"/>
    <w:rsid w:val="009C33F5"/>
    <w:rsid w:val="009C4C42"/>
    <w:rsid w:val="009C760E"/>
    <w:rsid w:val="009D1F11"/>
    <w:rsid w:val="009D4341"/>
    <w:rsid w:val="009D66A1"/>
    <w:rsid w:val="009D6EAC"/>
    <w:rsid w:val="009E6314"/>
    <w:rsid w:val="009E65C2"/>
    <w:rsid w:val="009E7619"/>
    <w:rsid w:val="009F4CEB"/>
    <w:rsid w:val="009F6553"/>
    <w:rsid w:val="009F6B07"/>
    <w:rsid w:val="00A01A93"/>
    <w:rsid w:val="00A0563B"/>
    <w:rsid w:val="00A07590"/>
    <w:rsid w:val="00A07B04"/>
    <w:rsid w:val="00A33695"/>
    <w:rsid w:val="00A33DBA"/>
    <w:rsid w:val="00A43A8C"/>
    <w:rsid w:val="00A45D29"/>
    <w:rsid w:val="00A5127C"/>
    <w:rsid w:val="00A55927"/>
    <w:rsid w:val="00A63984"/>
    <w:rsid w:val="00A67398"/>
    <w:rsid w:val="00A742E7"/>
    <w:rsid w:val="00A75E7D"/>
    <w:rsid w:val="00A76229"/>
    <w:rsid w:val="00A87D18"/>
    <w:rsid w:val="00A913E7"/>
    <w:rsid w:val="00A9462E"/>
    <w:rsid w:val="00A96DF5"/>
    <w:rsid w:val="00AB4059"/>
    <w:rsid w:val="00AB4388"/>
    <w:rsid w:val="00AB5928"/>
    <w:rsid w:val="00AB5CBE"/>
    <w:rsid w:val="00AC24DC"/>
    <w:rsid w:val="00AC4DC2"/>
    <w:rsid w:val="00AC729D"/>
    <w:rsid w:val="00AD60DE"/>
    <w:rsid w:val="00AE22F5"/>
    <w:rsid w:val="00AE50AD"/>
    <w:rsid w:val="00B0026F"/>
    <w:rsid w:val="00B02322"/>
    <w:rsid w:val="00B06F0A"/>
    <w:rsid w:val="00B10F0A"/>
    <w:rsid w:val="00B14367"/>
    <w:rsid w:val="00B21BF4"/>
    <w:rsid w:val="00B236CE"/>
    <w:rsid w:val="00B36058"/>
    <w:rsid w:val="00B406F6"/>
    <w:rsid w:val="00B5683E"/>
    <w:rsid w:val="00B57CAF"/>
    <w:rsid w:val="00B6497A"/>
    <w:rsid w:val="00B73A28"/>
    <w:rsid w:val="00B74BCA"/>
    <w:rsid w:val="00B801DA"/>
    <w:rsid w:val="00B87D91"/>
    <w:rsid w:val="00B90034"/>
    <w:rsid w:val="00B90787"/>
    <w:rsid w:val="00B913A7"/>
    <w:rsid w:val="00B941A5"/>
    <w:rsid w:val="00BA0BBC"/>
    <w:rsid w:val="00BA613A"/>
    <w:rsid w:val="00BC5A58"/>
    <w:rsid w:val="00BD6097"/>
    <w:rsid w:val="00BE1183"/>
    <w:rsid w:val="00BF3B3C"/>
    <w:rsid w:val="00BF5930"/>
    <w:rsid w:val="00C16288"/>
    <w:rsid w:val="00C1787A"/>
    <w:rsid w:val="00C26F63"/>
    <w:rsid w:val="00C27319"/>
    <w:rsid w:val="00C30A1A"/>
    <w:rsid w:val="00C42667"/>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A6E44"/>
    <w:rsid w:val="00CB3ECF"/>
    <w:rsid w:val="00CB5342"/>
    <w:rsid w:val="00CB5C9F"/>
    <w:rsid w:val="00CC274F"/>
    <w:rsid w:val="00CC34A1"/>
    <w:rsid w:val="00CC35AE"/>
    <w:rsid w:val="00CD7BD0"/>
    <w:rsid w:val="00CE14DE"/>
    <w:rsid w:val="00CF214A"/>
    <w:rsid w:val="00CF39EC"/>
    <w:rsid w:val="00D04825"/>
    <w:rsid w:val="00D07DEC"/>
    <w:rsid w:val="00D12059"/>
    <w:rsid w:val="00D12E3E"/>
    <w:rsid w:val="00D22B6E"/>
    <w:rsid w:val="00D237C4"/>
    <w:rsid w:val="00D311BD"/>
    <w:rsid w:val="00D31A35"/>
    <w:rsid w:val="00D31F65"/>
    <w:rsid w:val="00D41E1D"/>
    <w:rsid w:val="00D565E0"/>
    <w:rsid w:val="00D66B17"/>
    <w:rsid w:val="00D70E2F"/>
    <w:rsid w:val="00D80B89"/>
    <w:rsid w:val="00D80E98"/>
    <w:rsid w:val="00D8469E"/>
    <w:rsid w:val="00D877CB"/>
    <w:rsid w:val="00D96124"/>
    <w:rsid w:val="00DA2863"/>
    <w:rsid w:val="00DA420C"/>
    <w:rsid w:val="00DA486D"/>
    <w:rsid w:val="00DA518D"/>
    <w:rsid w:val="00DB11EF"/>
    <w:rsid w:val="00DB2982"/>
    <w:rsid w:val="00DB368D"/>
    <w:rsid w:val="00DB3CCE"/>
    <w:rsid w:val="00DB6FF3"/>
    <w:rsid w:val="00DD5730"/>
    <w:rsid w:val="00DD6C57"/>
    <w:rsid w:val="00DF2B38"/>
    <w:rsid w:val="00E07A74"/>
    <w:rsid w:val="00E17A6E"/>
    <w:rsid w:val="00E27B55"/>
    <w:rsid w:val="00E33FA3"/>
    <w:rsid w:val="00E34346"/>
    <w:rsid w:val="00E42579"/>
    <w:rsid w:val="00E570CC"/>
    <w:rsid w:val="00E57BDA"/>
    <w:rsid w:val="00E6598B"/>
    <w:rsid w:val="00E65E00"/>
    <w:rsid w:val="00E66027"/>
    <w:rsid w:val="00E926FA"/>
    <w:rsid w:val="00E9585B"/>
    <w:rsid w:val="00EA0D7C"/>
    <w:rsid w:val="00EA32FC"/>
    <w:rsid w:val="00EA41E9"/>
    <w:rsid w:val="00EC25A8"/>
    <w:rsid w:val="00EC34EA"/>
    <w:rsid w:val="00EC4D85"/>
    <w:rsid w:val="00ED55BB"/>
    <w:rsid w:val="00ED6001"/>
    <w:rsid w:val="00EE1511"/>
    <w:rsid w:val="00EE1BF5"/>
    <w:rsid w:val="00EF2F73"/>
    <w:rsid w:val="00EF3144"/>
    <w:rsid w:val="00F07D42"/>
    <w:rsid w:val="00F134C8"/>
    <w:rsid w:val="00F13E39"/>
    <w:rsid w:val="00F16533"/>
    <w:rsid w:val="00F2084D"/>
    <w:rsid w:val="00F24CF7"/>
    <w:rsid w:val="00F33217"/>
    <w:rsid w:val="00F42317"/>
    <w:rsid w:val="00F44F66"/>
    <w:rsid w:val="00F468F5"/>
    <w:rsid w:val="00F5519A"/>
    <w:rsid w:val="00F55A01"/>
    <w:rsid w:val="00F62A33"/>
    <w:rsid w:val="00F757F1"/>
    <w:rsid w:val="00F8203E"/>
    <w:rsid w:val="00FA4A0A"/>
    <w:rsid w:val="00FB057B"/>
    <w:rsid w:val="00FB7FFB"/>
    <w:rsid w:val="00FC2752"/>
    <w:rsid w:val="00FE1A3B"/>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d31145,#fffddf,#ffecd6"/>
    </o:shapedefaults>
    <o:shapelayout v:ext="edit">
      <o:idmap v:ext="edit" data="1"/>
    </o:shapelayout>
  </w:shapeDefaults>
  <w:decimalSymbol w:val="."/>
  <w:listSeparator w:val=","/>
  <w15:docId w15:val="{94BC6FCA-ECBF-4E24-B343-8C596467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195504"/>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ane.lister@lancashire.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mike.jensen@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yourpensionservice.org,uk"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AskPensions@lancashire.gov.uk" TargetMode="External"/><Relationship Id="rId10" Type="http://schemas.openxmlformats.org/officeDocument/2006/relationships/image" Target="media/image3.jpeg"/><Relationship Id="rId19" Type="http://schemas.openxmlformats.org/officeDocument/2006/relationships/hyperlink" Target="mailto:george.graham@lancashire.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yperlink" Target="mailto:andrew.fox@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C2751B-FD8E-4FD5-AB25-3BDE20CB9252}"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GB"/>
        </a:p>
      </dgm:t>
    </dgm:pt>
    <dgm:pt modelId="{2E236B83-037A-43F9-BF44-AF1D1C50B1BE}">
      <dgm:prSet phldrT="[Text]" custT="1"/>
      <dgm:spPr>
        <a:xfrm>
          <a:off x="1801942" y="1058279"/>
          <a:ext cx="2636415" cy="263641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200" b="1" baseline="0">
              <a:solidFill>
                <a:sysClr val="windowText" lastClr="000000"/>
              </a:solidFill>
              <a:latin typeface="Arial" panose="020B0604020202020204" pitchFamily="34" charset="0"/>
              <a:ea typeface="+mn-ea"/>
              <a:cs typeface="+mn-cs"/>
            </a:rPr>
            <a:t>Core Purpose</a:t>
          </a:r>
        </a:p>
        <a:p>
          <a:pPr algn="ctr"/>
          <a:r>
            <a:rPr lang="en-GB" sz="1200" b="0" baseline="0">
              <a:solidFill>
                <a:sysClr val="windowText" lastClr="000000"/>
              </a:solidFill>
              <a:latin typeface="Arial" panose="020B0604020202020204" pitchFamily="34" charset="0"/>
              <a:ea typeface="+mn-ea"/>
              <a:cs typeface="+mn-cs"/>
            </a:rPr>
            <a:t>To provide retirement security for members of the Local Government Pension Scheme in Lancashire, whilst providing the best possible level of service </a:t>
          </a:r>
        </a:p>
      </dgm:t>
    </dgm:pt>
    <dgm:pt modelId="{662B1FEF-5E7A-4305-B6AD-D350BAD2E1FD}" type="parTrans" cxnId="{20EEA867-FAE1-4E34-93C7-7BE4CA5148A6}">
      <dgm:prSet/>
      <dgm:spPr/>
      <dgm:t>
        <a:bodyPr/>
        <a:lstStyle/>
        <a:p>
          <a:pPr algn="ctr"/>
          <a:endParaRPr lang="en-GB"/>
        </a:p>
      </dgm:t>
    </dgm:pt>
    <dgm:pt modelId="{905192F1-2B84-44C3-9498-B23198B89CD3}" type="sibTrans" cxnId="{20EEA867-FAE1-4E34-93C7-7BE4CA5148A6}">
      <dgm:prSet/>
      <dgm:spPr/>
      <dgm:t>
        <a:bodyPr/>
        <a:lstStyle/>
        <a:p>
          <a:pPr algn="ctr"/>
          <a:endParaRPr lang="en-GB"/>
        </a:p>
      </dgm:t>
    </dgm:pt>
    <dgm:pt modelId="{5157945B-821C-4B2B-8CEC-3E59A9BD0081}">
      <dgm:prSet phldrT="[Text]" custT="1"/>
      <dgm:spPr>
        <a:xfrm>
          <a:off x="2220750" y="470"/>
          <a:ext cx="1798800"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pPr algn="ctr"/>
          <a:r>
            <a:rPr lang="en-GB" sz="1200" b="1" baseline="0">
              <a:solidFill>
                <a:sysClr val="windowText" lastClr="000000"/>
              </a:solidFill>
              <a:latin typeface="Arial" panose="020B0604020202020204" pitchFamily="34" charset="0"/>
              <a:ea typeface="+mn-ea"/>
              <a:cs typeface="+mn-cs"/>
            </a:rPr>
            <a:t>Governance</a:t>
          </a:r>
        </a:p>
      </dgm:t>
    </dgm:pt>
    <dgm:pt modelId="{E1F1BF69-55D8-4F19-9054-5F5D8801C5D4}" type="parTrans" cxnId="{001C31D6-F1D1-4D9D-83D8-B7015179F007}">
      <dgm:prSet/>
      <dgm:spPr/>
      <dgm:t>
        <a:bodyPr/>
        <a:lstStyle/>
        <a:p>
          <a:pPr algn="ctr"/>
          <a:endParaRPr lang="en-GB"/>
        </a:p>
      </dgm:t>
    </dgm:pt>
    <dgm:pt modelId="{93D40763-73DB-4603-97ED-814CAAB1559F}" type="sibTrans" cxnId="{001C31D6-F1D1-4D9D-83D8-B7015179F007}">
      <dgm:prSet/>
      <dgm:spPr/>
      <dgm:t>
        <a:bodyPr/>
        <a:lstStyle/>
        <a:p>
          <a:pPr algn="ctr"/>
          <a:endParaRPr lang="en-GB"/>
        </a:p>
      </dgm:t>
    </dgm:pt>
    <dgm:pt modelId="{49478A4D-8899-4D19-8124-7C0FAFC68693}">
      <dgm:prSet phldrT="[Text]" custT="1"/>
      <dgm:spPr>
        <a:xfrm>
          <a:off x="4123990" y="1726926"/>
          <a:ext cx="1730951"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pPr algn="ctr"/>
          <a:r>
            <a:rPr lang="en-GB" sz="1200" b="1" baseline="0">
              <a:solidFill>
                <a:sysClr val="windowText" lastClr="000000"/>
              </a:solidFill>
              <a:latin typeface="Arial" panose="020B0604020202020204" pitchFamily="34" charset="0"/>
              <a:ea typeface="+mn-ea"/>
              <a:cs typeface="+mn-cs"/>
            </a:rPr>
            <a:t>Administration</a:t>
          </a:r>
        </a:p>
      </dgm:t>
    </dgm:pt>
    <dgm:pt modelId="{6DF8080D-6DB0-4D08-8196-FA1FB10624F9}" type="parTrans" cxnId="{6A6CF683-7E91-4D83-9FF5-371403F9F757}">
      <dgm:prSet/>
      <dgm:spPr/>
      <dgm:t>
        <a:bodyPr/>
        <a:lstStyle/>
        <a:p>
          <a:pPr algn="ctr"/>
          <a:endParaRPr lang="en-GB"/>
        </a:p>
      </dgm:t>
    </dgm:pt>
    <dgm:pt modelId="{DF0BC6C3-45CE-4B6D-8194-6DDBBBF6ABB2}" type="sibTrans" cxnId="{6A6CF683-7E91-4D83-9FF5-371403F9F757}">
      <dgm:prSet/>
      <dgm:spPr/>
      <dgm:t>
        <a:bodyPr/>
        <a:lstStyle/>
        <a:p>
          <a:pPr algn="ctr"/>
          <a:endParaRPr lang="en-GB"/>
        </a:p>
      </dgm:t>
    </dgm:pt>
    <dgm:pt modelId="{7A694524-6AB3-4796-8821-590341353A4A}">
      <dgm:prSet phldrT="[Text]" custT="1"/>
      <dgm:spPr>
        <a:xfrm>
          <a:off x="2167415" y="3434296"/>
          <a:ext cx="1905469"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pPr algn="ctr"/>
          <a:r>
            <a:rPr lang="en-GB" sz="1200" b="1" baseline="0">
              <a:solidFill>
                <a:sysClr val="windowText" lastClr="000000"/>
              </a:solidFill>
              <a:latin typeface="Arial" panose="020B0604020202020204" pitchFamily="34" charset="0"/>
              <a:ea typeface="+mn-ea"/>
              <a:cs typeface="+mn-cs"/>
            </a:rPr>
            <a:t>Communication</a:t>
          </a:r>
        </a:p>
      </dgm:t>
    </dgm:pt>
    <dgm:pt modelId="{61FFB7D2-3B31-487E-8850-7975D90185F4}" type="parTrans" cxnId="{A11E2E32-8937-4EB8-BB07-D41FC57CE6CF}">
      <dgm:prSet/>
      <dgm:spPr/>
      <dgm:t>
        <a:bodyPr/>
        <a:lstStyle/>
        <a:p>
          <a:pPr algn="ctr"/>
          <a:endParaRPr lang="en-GB"/>
        </a:p>
      </dgm:t>
    </dgm:pt>
    <dgm:pt modelId="{73D70559-A28C-46FD-832D-C1962AC8C747}" type="sibTrans" cxnId="{A11E2E32-8937-4EB8-BB07-D41FC57CE6CF}">
      <dgm:prSet/>
      <dgm:spPr/>
      <dgm:t>
        <a:bodyPr/>
        <a:lstStyle/>
        <a:p>
          <a:pPr algn="ctr"/>
          <a:endParaRPr lang="en-GB"/>
        </a:p>
      </dgm:t>
    </dgm:pt>
    <dgm:pt modelId="{3B9639DE-7A1C-4EE8-BC7A-8709F07F3B13}">
      <dgm:prSet phldrT="[Text]" custT="1"/>
      <dgm:spPr>
        <a:xfrm>
          <a:off x="348610" y="1842059"/>
          <a:ext cx="1810004"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pPr algn="ctr"/>
          <a:r>
            <a:rPr lang="en-GB" sz="1200" b="1" baseline="0">
              <a:solidFill>
                <a:sysClr val="windowText" lastClr="000000"/>
              </a:solidFill>
              <a:latin typeface="Arial" panose="020B0604020202020204" pitchFamily="34" charset="0"/>
              <a:ea typeface="+mn-ea"/>
              <a:cs typeface="+mn-cs"/>
            </a:rPr>
            <a:t>Asset and Liability Management</a:t>
          </a:r>
        </a:p>
      </dgm:t>
    </dgm:pt>
    <dgm:pt modelId="{8D232283-4FC5-472B-9EED-5CC2A6065E73}" type="parTrans" cxnId="{1080E635-C7A0-4CA5-9515-635DB4833C47}">
      <dgm:prSet/>
      <dgm:spPr/>
      <dgm:t>
        <a:bodyPr/>
        <a:lstStyle/>
        <a:p>
          <a:pPr algn="ctr"/>
          <a:endParaRPr lang="en-GB"/>
        </a:p>
      </dgm:t>
    </dgm:pt>
    <dgm:pt modelId="{394FCFEB-B8C4-4F64-80BB-10DCA0D1E92F}" type="sibTrans" cxnId="{1080E635-C7A0-4CA5-9515-635DB4833C47}">
      <dgm:prSet/>
      <dgm:spPr/>
      <dgm:t>
        <a:bodyPr/>
        <a:lstStyle/>
        <a:p>
          <a:pPr algn="ctr"/>
          <a:endParaRPr lang="en-GB"/>
        </a:p>
      </dgm:t>
    </dgm:pt>
    <dgm:pt modelId="{7EE9F65A-7420-4FB8-BF06-2E28F9048FAC}" type="pres">
      <dgm:prSet presAssocID="{24C2751B-FD8E-4FD5-AB25-3BDE20CB9252}" presName="composite" presStyleCnt="0">
        <dgm:presLayoutVars>
          <dgm:chMax val="1"/>
          <dgm:dir/>
          <dgm:resizeHandles val="exact"/>
        </dgm:presLayoutVars>
      </dgm:prSet>
      <dgm:spPr/>
      <dgm:t>
        <a:bodyPr/>
        <a:lstStyle/>
        <a:p>
          <a:endParaRPr lang="en-GB"/>
        </a:p>
      </dgm:t>
    </dgm:pt>
    <dgm:pt modelId="{92D0C17F-353F-4E1C-860F-D9D84186BC97}" type="pres">
      <dgm:prSet presAssocID="{24C2751B-FD8E-4FD5-AB25-3BDE20CB9252}" presName="radial" presStyleCnt="0">
        <dgm:presLayoutVars>
          <dgm:animLvl val="ctr"/>
        </dgm:presLayoutVars>
      </dgm:prSet>
      <dgm:spPr/>
    </dgm:pt>
    <dgm:pt modelId="{18B93445-3050-4711-8EBB-7318B66BA054}" type="pres">
      <dgm:prSet presAssocID="{2E236B83-037A-43F9-BF44-AF1D1C50B1BE}" presName="centerShape" presStyleLbl="vennNode1" presStyleIdx="0" presStyleCnt="5"/>
      <dgm:spPr/>
      <dgm:t>
        <a:bodyPr/>
        <a:lstStyle/>
        <a:p>
          <a:endParaRPr lang="en-GB"/>
        </a:p>
      </dgm:t>
    </dgm:pt>
    <dgm:pt modelId="{BC01E4A0-FB9E-4F55-BAF9-38C31D4190DB}" type="pres">
      <dgm:prSet presAssocID="{5157945B-821C-4B2B-8CEC-3E59A9BD0081}" presName="node" presStyleLbl="vennNode1" presStyleIdx="1" presStyleCnt="5" custScaleX="136458">
        <dgm:presLayoutVars>
          <dgm:bulletEnabled val="1"/>
        </dgm:presLayoutVars>
      </dgm:prSet>
      <dgm:spPr/>
      <dgm:t>
        <a:bodyPr/>
        <a:lstStyle/>
        <a:p>
          <a:endParaRPr lang="en-GB"/>
        </a:p>
      </dgm:t>
    </dgm:pt>
    <dgm:pt modelId="{1B748510-6933-4657-A738-CE5492ACCAAB}" type="pres">
      <dgm:prSet presAssocID="{49478A4D-8899-4D19-8124-7C0FAFC68693}" presName="node" presStyleLbl="vennNode1" presStyleIdx="2" presStyleCnt="5" custScaleX="131311" custRadScaleRad="108878" custRadScaleInc="325">
        <dgm:presLayoutVars>
          <dgm:bulletEnabled val="1"/>
        </dgm:presLayoutVars>
      </dgm:prSet>
      <dgm:spPr/>
      <dgm:t>
        <a:bodyPr/>
        <a:lstStyle/>
        <a:p>
          <a:endParaRPr lang="en-GB"/>
        </a:p>
      </dgm:t>
    </dgm:pt>
    <dgm:pt modelId="{7FA16A86-52C4-4CA8-84DE-3225FD1EDC83}" type="pres">
      <dgm:prSet presAssocID="{7A694524-6AB3-4796-8821-590341353A4A}" presName="node" presStyleLbl="vennNode1" presStyleIdx="3" presStyleCnt="5" custScaleX="144550">
        <dgm:presLayoutVars>
          <dgm:bulletEnabled val="1"/>
        </dgm:presLayoutVars>
      </dgm:prSet>
      <dgm:spPr/>
      <dgm:t>
        <a:bodyPr/>
        <a:lstStyle/>
        <a:p>
          <a:endParaRPr lang="en-GB"/>
        </a:p>
      </dgm:t>
    </dgm:pt>
    <dgm:pt modelId="{DA44E014-1DE8-477D-A754-68D9988E3AB2}" type="pres">
      <dgm:prSet presAssocID="{3B9639DE-7A1C-4EE8-BC7A-8709F07F3B13}" presName="node" presStyleLbl="vennNode1" presStyleIdx="4" presStyleCnt="5" custScaleX="137308" custRadScaleRad="108957" custRadScaleInc="-4246">
        <dgm:presLayoutVars>
          <dgm:bulletEnabled val="1"/>
        </dgm:presLayoutVars>
      </dgm:prSet>
      <dgm:spPr/>
      <dgm:t>
        <a:bodyPr/>
        <a:lstStyle/>
        <a:p>
          <a:endParaRPr lang="en-GB"/>
        </a:p>
      </dgm:t>
    </dgm:pt>
  </dgm:ptLst>
  <dgm:cxnLst>
    <dgm:cxn modelId="{001C31D6-F1D1-4D9D-83D8-B7015179F007}" srcId="{2E236B83-037A-43F9-BF44-AF1D1C50B1BE}" destId="{5157945B-821C-4B2B-8CEC-3E59A9BD0081}" srcOrd="0" destOrd="0" parTransId="{E1F1BF69-55D8-4F19-9054-5F5D8801C5D4}" sibTransId="{93D40763-73DB-4603-97ED-814CAAB1559F}"/>
    <dgm:cxn modelId="{02759859-723A-4601-9CB5-CC661125E208}" type="presOf" srcId="{49478A4D-8899-4D19-8124-7C0FAFC68693}" destId="{1B748510-6933-4657-A738-CE5492ACCAAB}" srcOrd="0" destOrd="0" presId="urn:microsoft.com/office/officeart/2005/8/layout/radial3"/>
    <dgm:cxn modelId="{AF1E22BF-2FFD-4948-A875-C616146D170D}" type="presOf" srcId="{3B9639DE-7A1C-4EE8-BC7A-8709F07F3B13}" destId="{DA44E014-1DE8-477D-A754-68D9988E3AB2}" srcOrd="0" destOrd="0" presId="urn:microsoft.com/office/officeart/2005/8/layout/radial3"/>
    <dgm:cxn modelId="{A535B4E4-1B8B-47C8-B2F7-9241DEBBE207}" type="presOf" srcId="{24C2751B-FD8E-4FD5-AB25-3BDE20CB9252}" destId="{7EE9F65A-7420-4FB8-BF06-2E28F9048FAC}" srcOrd="0" destOrd="0" presId="urn:microsoft.com/office/officeart/2005/8/layout/radial3"/>
    <dgm:cxn modelId="{6A6CF683-7E91-4D83-9FF5-371403F9F757}" srcId="{2E236B83-037A-43F9-BF44-AF1D1C50B1BE}" destId="{49478A4D-8899-4D19-8124-7C0FAFC68693}" srcOrd="1" destOrd="0" parTransId="{6DF8080D-6DB0-4D08-8196-FA1FB10624F9}" sibTransId="{DF0BC6C3-45CE-4B6D-8194-6DDBBBF6ABB2}"/>
    <dgm:cxn modelId="{4E3B9E02-32B8-42E2-A116-254FBC642E6D}" type="presOf" srcId="{7A694524-6AB3-4796-8821-590341353A4A}" destId="{7FA16A86-52C4-4CA8-84DE-3225FD1EDC83}" srcOrd="0" destOrd="0" presId="urn:microsoft.com/office/officeart/2005/8/layout/radial3"/>
    <dgm:cxn modelId="{1080E635-C7A0-4CA5-9515-635DB4833C47}" srcId="{2E236B83-037A-43F9-BF44-AF1D1C50B1BE}" destId="{3B9639DE-7A1C-4EE8-BC7A-8709F07F3B13}" srcOrd="3" destOrd="0" parTransId="{8D232283-4FC5-472B-9EED-5CC2A6065E73}" sibTransId="{394FCFEB-B8C4-4F64-80BB-10DCA0D1E92F}"/>
    <dgm:cxn modelId="{A11E2E32-8937-4EB8-BB07-D41FC57CE6CF}" srcId="{2E236B83-037A-43F9-BF44-AF1D1C50B1BE}" destId="{7A694524-6AB3-4796-8821-590341353A4A}" srcOrd="2" destOrd="0" parTransId="{61FFB7D2-3B31-487E-8850-7975D90185F4}" sibTransId="{73D70559-A28C-46FD-832D-C1962AC8C747}"/>
    <dgm:cxn modelId="{E6C7A884-6C8F-4D73-9C76-782B0FDBB34D}" type="presOf" srcId="{2E236B83-037A-43F9-BF44-AF1D1C50B1BE}" destId="{18B93445-3050-4711-8EBB-7318B66BA054}" srcOrd="0" destOrd="0" presId="urn:microsoft.com/office/officeart/2005/8/layout/radial3"/>
    <dgm:cxn modelId="{81DBA02F-9B3A-4A98-87BF-F97E096C0078}" type="presOf" srcId="{5157945B-821C-4B2B-8CEC-3E59A9BD0081}" destId="{BC01E4A0-FB9E-4F55-BAF9-38C31D4190DB}" srcOrd="0" destOrd="0" presId="urn:microsoft.com/office/officeart/2005/8/layout/radial3"/>
    <dgm:cxn modelId="{20EEA867-FAE1-4E34-93C7-7BE4CA5148A6}" srcId="{24C2751B-FD8E-4FD5-AB25-3BDE20CB9252}" destId="{2E236B83-037A-43F9-BF44-AF1D1C50B1BE}" srcOrd="0" destOrd="0" parTransId="{662B1FEF-5E7A-4305-B6AD-D350BAD2E1FD}" sibTransId="{905192F1-2B84-44C3-9498-B23198B89CD3}"/>
    <dgm:cxn modelId="{1CFBFED6-64A9-4D52-85A5-BE1293779F6C}" type="presParOf" srcId="{7EE9F65A-7420-4FB8-BF06-2E28F9048FAC}" destId="{92D0C17F-353F-4E1C-860F-D9D84186BC97}" srcOrd="0" destOrd="0" presId="urn:microsoft.com/office/officeart/2005/8/layout/radial3"/>
    <dgm:cxn modelId="{BF992836-71C7-436C-8CE2-9DECA4793C2D}" type="presParOf" srcId="{92D0C17F-353F-4E1C-860F-D9D84186BC97}" destId="{18B93445-3050-4711-8EBB-7318B66BA054}" srcOrd="0" destOrd="0" presId="urn:microsoft.com/office/officeart/2005/8/layout/radial3"/>
    <dgm:cxn modelId="{C0F314C2-6657-487E-A410-BCBCD602CB55}" type="presParOf" srcId="{92D0C17F-353F-4E1C-860F-D9D84186BC97}" destId="{BC01E4A0-FB9E-4F55-BAF9-38C31D4190DB}" srcOrd="1" destOrd="0" presId="urn:microsoft.com/office/officeart/2005/8/layout/radial3"/>
    <dgm:cxn modelId="{C44E652A-EBA2-4B0C-9D66-1AC06C557108}" type="presParOf" srcId="{92D0C17F-353F-4E1C-860F-D9D84186BC97}" destId="{1B748510-6933-4657-A738-CE5492ACCAAB}" srcOrd="2" destOrd="0" presId="urn:microsoft.com/office/officeart/2005/8/layout/radial3"/>
    <dgm:cxn modelId="{A06211AE-7DFA-4135-AF3E-1283810FC60A}" type="presParOf" srcId="{92D0C17F-353F-4E1C-860F-D9D84186BC97}" destId="{7FA16A86-52C4-4CA8-84DE-3225FD1EDC83}" srcOrd="3" destOrd="0" presId="urn:microsoft.com/office/officeart/2005/8/layout/radial3"/>
    <dgm:cxn modelId="{C7D5C0D3-EB79-432A-B445-57C1E7DFE345}" type="presParOf" srcId="{92D0C17F-353F-4E1C-860F-D9D84186BC97}" destId="{DA44E014-1DE8-477D-A754-68D9988E3AB2}" srcOrd="4"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93445-3050-4711-8EBB-7318B66BA054}">
      <dsp:nvSpPr>
        <dsp:cNvPr id="0" name=""/>
        <dsp:cNvSpPr/>
      </dsp:nvSpPr>
      <dsp:spPr>
        <a:xfrm>
          <a:off x="1801942" y="1058279"/>
          <a:ext cx="2636415" cy="263641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Core Purpose</a:t>
          </a:r>
        </a:p>
        <a:p>
          <a:pPr lvl="0" algn="ctr" defTabSz="533400">
            <a:lnSpc>
              <a:spcPct val="90000"/>
            </a:lnSpc>
            <a:spcBef>
              <a:spcPct val="0"/>
            </a:spcBef>
            <a:spcAft>
              <a:spcPct val="35000"/>
            </a:spcAft>
          </a:pPr>
          <a:r>
            <a:rPr lang="en-GB" sz="1200" b="0" kern="1200" baseline="0">
              <a:solidFill>
                <a:sysClr val="windowText" lastClr="000000"/>
              </a:solidFill>
              <a:latin typeface="Arial" panose="020B0604020202020204" pitchFamily="34" charset="0"/>
              <a:ea typeface="+mn-ea"/>
              <a:cs typeface="+mn-cs"/>
            </a:rPr>
            <a:t>To provide retirement security for members of the Local Government Pension Scheme in Lancashire, whilst providing the best possible level of service </a:t>
          </a:r>
        </a:p>
      </dsp:txBody>
      <dsp:txXfrm>
        <a:off x="2188036" y="1444373"/>
        <a:ext cx="1864227" cy="1864227"/>
      </dsp:txXfrm>
    </dsp:sp>
    <dsp:sp modelId="{BC01E4A0-FB9E-4F55-BAF9-38C31D4190DB}">
      <dsp:nvSpPr>
        <dsp:cNvPr id="0" name=""/>
        <dsp:cNvSpPr/>
      </dsp:nvSpPr>
      <dsp:spPr>
        <a:xfrm>
          <a:off x="2220750" y="470"/>
          <a:ext cx="1798800"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Governance</a:t>
          </a:r>
        </a:p>
      </dsp:txBody>
      <dsp:txXfrm>
        <a:off x="2484178" y="193517"/>
        <a:ext cx="1271944" cy="932113"/>
      </dsp:txXfrm>
    </dsp:sp>
    <dsp:sp modelId="{1B748510-6933-4657-A738-CE5492ACCAAB}">
      <dsp:nvSpPr>
        <dsp:cNvPr id="0" name=""/>
        <dsp:cNvSpPr/>
      </dsp:nvSpPr>
      <dsp:spPr>
        <a:xfrm>
          <a:off x="4123990" y="1726926"/>
          <a:ext cx="1730951"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Administration</a:t>
          </a:r>
        </a:p>
      </dsp:txBody>
      <dsp:txXfrm>
        <a:off x="4377482" y="1919973"/>
        <a:ext cx="1223967" cy="932113"/>
      </dsp:txXfrm>
    </dsp:sp>
    <dsp:sp modelId="{7FA16A86-52C4-4CA8-84DE-3225FD1EDC83}">
      <dsp:nvSpPr>
        <dsp:cNvPr id="0" name=""/>
        <dsp:cNvSpPr/>
      </dsp:nvSpPr>
      <dsp:spPr>
        <a:xfrm>
          <a:off x="2167415" y="3434296"/>
          <a:ext cx="1905469"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Communication</a:t>
          </a:r>
        </a:p>
      </dsp:txBody>
      <dsp:txXfrm>
        <a:off x="2446464" y="3627343"/>
        <a:ext cx="1347371" cy="932113"/>
      </dsp:txXfrm>
    </dsp:sp>
    <dsp:sp modelId="{DA44E014-1DE8-477D-A754-68D9988E3AB2}">
      <dsp:nvSpPr>
        <dsp:cNvPr id="0" name=""/>
        <dsp:cNvSpPr/>
      </dsp:nvSpPr>
      <dsp:spPr>
        <a:xfrm>
          <a:off x="348610" y="1842059"/>
          <a:ext cx="1810004" cy="1318207"/>
        </a:xfrm>
        <a:prstGeom prst="ellipse">
          <a:avLst/>
        </a:prstGeom>
        <a:solidFill>
          <a:srgbClr val="C0504D">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baseline="0">
              <a:solidFill>
                <a:sysClr val="windowText" lastClr="000000"/>
              </a:solidFill>
              <a:latin typeface="Arial" panose="020B0604020202020204" pitchFamily="34" charset="0"/>
              <a:ea typeface="+mn-ea"/>
              <a:cs typeface="+mn-cs"/>
            </a:rPr>
            <a:t>Asset and Liability Management</a:t>
          </a:r>
        </a:p>
      </dsp:txBody>
      <dsp:txXfrm>
        <a:off x="613679" y="2035106"/>
        <a:ext cx="1279866" cy="9321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7C88-329C-4153-9FFE-E83D321A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17</Pages>
  <Words>2870</Words>
  <Characters>16361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19193</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Mather, Chris</cp:lastModifiedBy>
  <cp:revision>2</cp:revision>
  <cp:lastPrinted>2015-03-04T09:42:00Z</cp:lastPrinted>
  <dcterms:created xsi:type="dcterms:W3CDTF">2015-03-16T13:01:00Z</dcterms:created>
  <dcterms:modified xsi:type="dcterms:W3CDTF">2015-03-16T13:01:00Z</dcterms:modified>
</cp:coreProperties>
</file>